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6E7FB0" w14:textId="77777777" w:rsidR="00780A2D" w:rsidRPr="00780A2D" w:rsidRDefault="00780A2D" w:rsidP="00780A2D">
      <w:pPr>
        <w:widowControl w:val="0"/>
        <w:autoSpaceDE w:val="0"/>
        <w:autoSpaceDN w:val="0"/>
        <w:adjustRightInd w:val="0"/>
        <w:spacing w:line="320" w:lineRule="atLeast"/>
        <w:rPr>
          <w:rFonts w:ascii="Arial" w:hAnsi="Arial" w:cs="Arial"/>
          <w:color w:val="000000"/>
        </w:rPr>
      </w:pPr>
    </w:p>
    <w:p w14:paraId="40252B8D"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453CCC"/>
        </w:rPr>
      </w:pPr>
      <w:r w:rsidRPr="00780A2D">
        <w:rPr>
          <w:rFonts w:ascii="Helvetica Neue" w:hAnsi="Helvetica Neue" w:cs="Helvetica Neue"/>
          <w:b/>
          <w:bCs/>
          <w:color w:val="000000"/>
        </w:rPr>
        <w:t xml:space="preserve">From: </w:t>
      </w:r>
      <w:r w:rsidRPr="00780A2D">
        <w:rPr>
          <w:rFonts w:ascii="Helvetica Neue" w:hAnsi="Helvetica Neue" w:cs="Helvetica Neue"/>
          <w:color w:val="453CCC"/>
        </w:rPr>
        <w:t>Minh Alexander &lt;minhalexander@aol.com&gt;</w:t>
      </w:r>
    </w:p>
    <w:p w14:paraId="6D0484EE"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453CCC"/>
        </w:rPr>
      </w:pPr>
      <w:r w:rsidRPr="00780A2D">
        <w:rPr>
          <w:rFonts w:ascii="Helvetica Neue" w:hAnsi="Helvetica Neue" w:cs="Helvetica Neue"/>
          <w:b/>
          <w:bCs/>
          <w:color w:val="000000"/>
        </w:rPr>
        <w:t xml:space="preserve">Subject: </w:t>
      </w:r>
      <w:r w:rsidRPr="00780A2D">
        <w:rPr>
          <w:rFonts w:ascii="Helvetica Neue" w:hAnsi="Helvetica Neue" w:cs="Helvetica Neue"/>
          <w:b/>
          <w:bCs/>
          <w:color w:val="453CCC"/>
        </w:rPr>
        <w:t>ET finding of unfair dismissal in a PIDA case against a social care provider and regulatory monitoring of ET1 forms</w:t>
      </w:r>
    </w:p>
    <w:p w14:paraId="616C8DF4"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453CCC"/>
        </w:rPr>
      </w:pPr>
      <w:r w:rsidRPr="00780A2D">
        <w:rPr>
          <w:rFonts w:ascii="Helvetica Neue" w:hAnsi="Helvetica Neue" w:cs="Helvetica Neue"/>
          <w:b/>
          <w:bCs/>
          <w:color w:val="000000"/>
        </w:rPr>
        <w:t xml:space="preserve">Date: </w:t>
      </w:r>
      <w:r w:rsidRPr="00780A2D">
        <w:rPr>
          <w:rFonts w:ascii="Helvetica Neue" w:hAnsi="Helvetica Neue" w:cs="Helvetica Neue"/>
          <w:color w:val="453CCC"/>
        </w:rPr>
        <w:t>17 September 2018 at 10:55:56 BST</w:t>
      </w:r>
    </w:p>
    <w:p w14:paraId="1C8EAE46"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453CCC"/>
        </w:rPr>
      </w:pPr>
      <w:r w:rsidRPr="00780A2D">
        <w:rPr>
          <w:rFonts w:ascii="Helvetica Neue" w:hAnsi="Helvetica Neue" w:cs="Helvetica Neue"/>
          <w:b/>
          <w:bCs/>
          <w:color w:val="000000"/>
        </w:rPr>
        <w:t xml:space="preserve">To: </w:t>
      </w:r>
      <w:r w:rsidRPr="00780A2D">
        <w:rPr>
          <w:rFonts w:ascii="Helvetica Neue" w:hAnsi="Helvetica Neue" w:cs="Helvetica Neue"/>
          <w:bCs/>
          <w:color w:val="000000"/>
        </w:rPr>
        <w:t xml:space="preserve">Andrea Sutcliffe </w:t>
      </w:r>
      <w:r w:rsidRPr="00780A2D">
        <w:rPr>
          <w:rFonts w:ascii="Helvetica Neue" w:hAnsi="Helvetica Neue" w:cs="Helvetica Neue"/>
          <w:color w:val="453CCC"/>
        </w:rPr>
        <w:t xml:space="preserve">&lt;******************************&gt; </w:t>
      </w:r>
    </w:p>
    <w:p w14:paraId="28C064BC"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453CCC"/>
        </w:rPr>
      </w:pPr>
      <w:r w:rsidRPr="00780A2D">
        <w:rPr>
          <w:rFonts w:ascii="Helvetica Neue" w:hAnsi="Helvetica Neue" w:cs="Helvetica Neue"/>
          <w:b/>
          <w:bCs/>
          <w:color w:val="000000"/>
        </w:rPr>
        <w:t xml:space="preserve">Cc: </w:t>
      </w:r>
      <w:r w:rsidRPr="00780A2D">
        <w:rPr>
          <w:rFonts w:ascii="Helvetica Neue" w:hAnsi="Helvetica Neue" w:cs="Helvetica Neue"/>
          <w:color w:val="453CCC"/>
        </w:rPr>
        <w:t>****************************************************************************************************************************************************************************************************************************************************************************************************************************************************************************************</w:t>
      </w:r>
    </w:p>
    <w:p w14:paraId="77E547B3"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31FCA234"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BY EMAIL </w:t>
      </w:r>
    </w:p>
    <w:p w14:paraId="43E76840"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1F974468"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Andrea Sutcliffe</w:t>
      </w:r>
    </w:p>
    <w:p w14:paraId="09280581"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Chief Inspector </w:t>
      </w:r>
    </w:p>
    <w:p w14:paraId="5F67D06C"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Adult Social Care</w:t>
      </w:r>
    </w:p>
    <w:p w14:paraId="2CB39FAB"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02013433"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17 September 2018</w:t>
      </w:r>
    </w:p>
    <w:p w14:paraId="033C2A2D"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362AA2D1"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Dear Ms Sutcliffe,</w:t>
      </w:r>
    </w:p>
    <w:p w14:paraId="1CB50BAF"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688DE9A6" w14:textId="77777777" w:rsidR="00780A2D" w:rsidRPr="00780A2D" w:rsidRDefault="00780A2D" w:rsidP="00780A2D">
      <w:pPr>
        <w:widowControl w:val="0"/>
        <w:autoSpaceDE w:val="0"/>
        <w:autoSpaceDN w:val="0"/>
        <w:adjustRightInd w:val="0"/>
        <w:spacing w:line="320" w:lineRule="atLeast"/>
        <w:rPr>
          <w:rFonts w:ascii="Arial" w:hAnsi="Arial" w:cs="Arial"/>
          <w:b/>
          <w:bCs/>
          <w:color w:val="453CCC"/>
        </w:rPr>
      </w:pPr>
    </w:p>
    <w:p w14:paraId="27498489"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b/>
          <w:bCs/>
          <w:color w:val="453CCC"/>
        </w:rPr>
        <w:t>ET finding of unfair dismissal in a PIDA case against a social care provider and regulatory monitoring of ET1 forms</w:t>
      </w:r>
    </w:p>
    <w:p w14:paraId="4A6E3F94"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0289F95F"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xml:space="preserve">Many thanks for your helpful response on this matter, received 14 September and attached, and for the confirmation that CQC does not have a specific protocol for handling ET1 notifications from Employment Tribunals about </w:t>
      </w:r>
      <w:proofErr w:type="spellStart"/>
      <w:r w:rsidRPr="00780A2D">
        <w:rPr>
          <w:rFonts w:ascii="Arial" w:hAnsi="Arial" w:cs="Arial"/>
          <w:color w:val="453CCC"/>
        </w:rPr>
        <w:t>whistleblowers’</w:t>
      </w:r>
      <w:proofErr w:type="spellEnd"/>
      <w:r w:rsidRPr="00780A2D">
        <w:rPr>
          <w:rFonts w:ascii="Arial" w:hAnsi="Arial" w:cs="Arial"/>
          <w:color w:val="453CCC"/>
        </w:rPr>
        <w:t xml:space="preserve"> cases, concerns and alleged detriment.</w:t>
      </w:r>
    </w:p>
    <w:p w14:paraId="02305482"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1326AC0A"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Thank you also for agreeing to take this issue forward.</w:t>
      </w:r>
    </w:p>
    <w:p w14:paraId="4DA2B792"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76693A3D"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May I add a few points for consideration, in any protocol that CQC may design:</w:t>
      </w:r>
    </w:p>
    <w:p w14:paraId="3DEC3ADC"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2A9AD7C6"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11549635"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xml:space="preserve">1. A central database is kept, so that CQC can monitor trends and conduct analyses of alleged </w:t>
      </w:r>
      <w:proofErr w:type="spellStart"/>
      <w:r w:rsidRPr="00780A2D">
        <w:rPr>
          <w:rFonts w:ascii="Arial" w:hAnsi="Arial" w:cs="Arial"/>
          <w:color w:val="453CCC"/>
        </w:rPr>
        <w:t>whistleblower</w:t>
      </w:r>
      <w:proofErr w:type="spellEnd"/>
      <w:r w:rsidRPr="00780A2D">
        <w:rPr>
          <w:rFonts w:ascii="Arial" w:hAnsi="Arial" w:cs="Arial"/>
          <w:color w:val="453CCC"/>
        </w:rPr>
        <w:t xml:space="preserve"> detriment by provider</w:t>
      </w:r>
    </w:p>
    <w:p w14:paraId="75132978"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7B2AE5F6"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lastRenderedPageBreak/>
        <w:t>2. The database is cross checked whenever CQC receives a concern about FPPR</w:t>
      </w:r>
    </w:p>
    <w:p w14:paraId="37C51ADC"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1FA43394"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3. Regulators share information about ET1 notifications, as due to the vagaries of the ET system, ET1 notifications may be misdirected and each NHS Prescribed Person may not receive a complete picture</w:t>
      </w:r>
    </w:p>
    <w:p w14:paraId="795B7D71"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45E85F99"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4. CQC follows up ET1 notifications with checks for compromise agreements involving the affected parties, and the nature of any such settlement. Many claims under PIDA result in withdrawal of the claims, some due to settlement. </w:t>
      </w:r>
    </w:p>
    <w:p w14:paraId="7EA83AAF"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16E03E11"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ET1 notifications from the Employment Tribunal are important because they may be the only visible, outward sign of a failure of whistleblowing governance.</w:t>
      </w:r>
    </w:p>
    <w:p w14:paraId="33B9DAA2"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7C054520"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xml:space="preserve">5. </w:t>
      </w:r>
      <w:proofErr w:type="gramStart"/>
      <w:r w:rsidRPr="00780A2D">
        <w:rPr>
          <w:rFonts w:ascii="Arial" w:hAnsi="Arial" w:cs="Arial"/>
          <w:color w:val="453CCC"/>
        </w:rPr>
        <w:t>Assuming that</w:t>
      </w:r>
      <w:proofErr w:type="gramEnd"/>
      <w:r w:rsidRPr="00780A2D">
        <w:rPr>
          <w:rFonts w:ascii="Arial" w:hAnsi="Arial" w:cs="Arial"/>
          <w:color w:val="453CCC"/>
        </w:rPr>
        <w:t xml:space="preserve"> ET1s have been correctly addressed to the CQC, the protocol includes: </w:t>
      </w:r>
    </w:p>
    <w:p w14:paraId="7139D961"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535548B6"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xml:space="preserve">- </w:t>
      </w:r>
      <w:proofErr w:type="gramStart"/>
      <w:r w:rsidRPr="00780A2D">
        <w:rPr>
          <w:rFonts w:ascii="Arial" w:hAnsi="Arial" w:cs="Arial"/>
          <w:color w:val="453CCC"/>
        </w:rPr>
        <w:t>making contact with</w:t>
      </w:r>
      <w:proofErr w:type="gramEnd"/>
      <w:r w:rsidRPr="00780A2D">
        <w:rPr>
          <w:rFonts w:ascii="Arial" w:hAnsi="Arial" w:cs="Arial"/>
          <w:color w:val="453CCC"/>
        </w:rPr>
        <w:t xml:space="preserve"> the putative </w:t>
      </w:r>
      <w:proofErr w:type="spellStart"/>
      <w:r w:rsidRPr="00780A2D">
        <w:rPr>
          <w:rFonts w:ascii="Arial" w:hAnsi="Arial" w:cs="Arial"/>
          <w:color w:val="453CCC"/>
        </w:rPr>
        <w:t>whistleblower</w:t>
      </w:r>
      <w:proofErr w:type="spellEnd"/>
      <w:r w:rsidRPr="00780A2D">
        <w:rPr>
          <w:rFonts w:ascii="Arial" w:hAnsi="Arial" w:cs="Arial"/>
          <w:color w:val="453CCC"/>
        </w:rPr>
        <w:t> </w:t>
      </w:r>
    </w:p>
    <w:p w14:paraId="09D34C4E"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assessing their concerns and report of detriment</w:t>
      </w:r>
    </w:p>
    <w:p w14:paraId="0A230C2E"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review of the employer’s whistleblowing governance</w:t>
      </w:r>
    </w:p>
    <w:p w14:paraId="7D96EAE4"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21BE3726"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bookmarkStart w:id="0" w:name="_GoBack"/>
      <w:bookmarkEnd w:id="0"/>
    </w:p>
    <w:p w14:paraId="19566C46"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With best wishes,</w:t>
      </w:r>
    </w:p>
    <w:p w14:paraId="23846723"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29757BEA"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Minh</w:t>
      </w:r>
    </w:p>
    <w:p w14:paraId="1B1F7D74"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221C7C85"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Dr Minh Alexander</w:t>
      </w:r>
    </w:p>
    <w:p w14:paraId="39E1C8B1"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25DD07FE"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cc Prof Edward Baker CQC Chief Inspector of Hospitals</w:t>
      </w:r>
    </w:p>
    <w:p w14:paraId="2B885F03"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Stephen Barclay </w:t>
      </w:r>
    </w:p>
    <w:p w14:paraId="29B1B15C"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xml:space="preserve">     Caroline </w:t>
      </w:r>
      <w:proofErr w:type="spellStart"/>
      <w:r w:rsidRPr="00780A2D">
        <w:rPr>
          <w:rFonts w:ascii="Arial" w:hAnsi="Arial" w:cs="Arial"/>
          <w:color w:val="453CCC"/>
        </w:rPr>
        <w:t>Dinenage</w:t>
      </w:r>
      <w:proofErr w:type="spellEnd"/>
    </w:p>
    <w:p w14:paraId="20EDE3E6"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Sir Robert Francis</w:t>
      </w:r>
    </w:p>
    <w:p w14:paraId="614CC159"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Dr Philippa Whitford</w:t>
      </w:r>
    </w:p>
    <w:p w14:paraId="58A26885"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Martin Morton</w:t>
      </w:r>
    </w:p>
    <w:p w14:paraId="69909373"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xml:space="preserve">     Clare </w:t>
      </w:r>
      <w:proofErr w:type="spellStart"/>
      <w:r w:rsidRPr="00780A2D">
        <w:rPr>
          <w:rFonts w:ascii="Arial" w:hAnsi="Arial" w:cs="Arial"/>
          <w:color w:val="453CCC"/>
        </w:rPr>
        <w:t>Sardari</w:t>
      </w:r>
      <w:proofErr w:type="spellEnd"/>
    </w:p>
    <w:p w14:paraId="6A759A83"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Dr Henrietta Hughes</w:t>
      </w:r>
    </w:p>
    <w:p w14:paraId="3CB57778"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xml:space="preserve">     Tom </w:t>
      </w:r>
      <w:proofErr w:type="spellStart"/>
      <w:r w:rsidRPr="00780A2D">
        <w:rPr>
          <w:rFonts w:ascii="Arial" w:hAnsi="Arial" w:cs="Arial"/>
          <w:color w:val="453CCC"/>
        </w:rPr>
        <w:t>Kark</w:t>
      </w:r>
      <w:proofErr w:type="spellEnd"/>
    </w:p>
    <w:p w14:paraId="18B5154E"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r w:rsidRPr="00780A2D">
        <w:rPr>
          <w:rFonts w:ascii="Arial" w:hAnsi="Arial" w:cs="Arial"/>
          <w:color w:val="453CCC"/>
        </w:rPr>
        <w:t>     Jane Russell</w:t>
      </w:r>
    </w:p>
    <w:p w14:paraId="75FF1B96"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56D249EB"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5C6AA319"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01FFD10D"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14A0C2"/>
        </w:rPr>
      </w:pPr>
      <w:r w:rsidRPr="00780A2D">
        <w:rPr>
          <w:rFonts w:ascii="Helvetica Neue" w:hAnsi="Helvetica Neue" w:cs="Helvetica Neue"/>
          <w:b/>
          <w:bCs/>
          <w:color w:val="14A0C2"/>
        </w:rPr>
        <w:t xml:space="preserve">From: </w:t>
      </w:r>
      <w:r w:rsidRPr="00780A2D">
        <w:rPr>
          <w:rFonts w:ascii="Helvetica Neue" w:hAnsi="Helvetica Neue" w:cs="Helvetica Neue"/>
          <w:color w:val="14A0C2"/>
        </w:rPr>
        <w:t>"Docherty, Matthew" &lt;</w:t>
      </w:r>
      <w:r w:rsidRPr="00780A2D">
        <w:rPr>
          <w:rFonts w:ascii="Helvetica Neue" w:hAnsi="Helvetica Neue" w:cs="Helvetica Neue"/>
          <w:color w:val="14A0C2"/>
        </w:rPr>
        <w:t>**************************************</w:t>
      </w:r>
      <w:r w:rsidRPr="00780A2D">
        <w:rPr>
          <w:rFonts w:ascii="Helvetica Neue" w:hAnsi="Helvetica Neue" w:cs="Helvetica Neue"/>
          <w:color w:val="14A0C2"/>
        </w:rPr>
        <w:t>&gt;</w:t>
      </w:r>
    </w:p>
    <w:p w14:paraId="4E038077"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14A0C2"/>
        </w:rPr>
      </w:pPr>
      <w:r w:rsidRPr="00780A2D">
        <w:rPr>
          <w:rFonts w:ascii="Helvetica Neue" w:hAnsi="Helvetica Neue" w:cs="Helvetica Neue"/>
          <w:b/>
          <w:bCs/>
          <w:color w:val="14A0C2"/>
        </w:rPr>
        <w:t>Subject: RE: ET finding of unfair dismissal in a PIDA case against a social care provider and regulatory monitoring of ET1 forms</w:t>
      </w:r>
    </w:p>
    <w:p w14:paraId="77643D88"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14A0C2"/>
        </w:rPr>
      </w:pPr>
      <w:r w:rsidRPr="00780A2D">
        <w:rPr>
          <w:rFonts w:ascii="Helvetica Neue" w:hAnsi="Helvetica Neue" w:cs="Helvetica Neue"/>
          <w:b/>
          <w:bCs/>
          <w:color w:val="14A0C2"/>
        </w:rPr>
        <w:t xml:space="preserve">Date: </w:t>
      </w:r>
      <w:r w:rsidRPr="00780A2D">
        <w:rPr>
          <w:rFonts w:ascii="Helvetica Neue" w:hAnsi="Helvetica Neue" w:cs="Helvetica Neue"/>
          <w:color w:val="14A0C2"/>
        </w:rPr>
        <w:t>14 September 2018 at 10:44:23 BST</w:t>
      </w:r>
    </w:p>
    <w:p w14:paraId="5B997541" w14:textId="77777777" w:rsidR="00780A2D" w:rsidRPr="00780A2D" w:rsidRDefault="00780A2D" w:rsidP="00780A2D">
      <w:pPr>
        <w:widowControl w:val="0"/>
        <w:autoSpaceDE w:val="0"/>
        <w:autoSpaceDN w:val="0"/>
        <w:adjustRightInd w:val="0"/>
        <w:spacing w:line="340" w:lineRule="atLeast"/>
        <w:rPr>
          <w:rFonts w:ascii="Helvetica Neue" w:hAnsi="Helvetica Neue" w:cs="Helvetica Neue"/>
          <w:color w:val="14A0C2"/>
        </w:rPr>
      </w:pPr>
      <w:r w:rsidRPr="00780A2D">
        <w:rPr>
          <w:rFonts w:ascii="Helvetica Neue" w:hAnsi="Helvetica Neue" w:cs="Helvetica Neue"/>
          <w:b/>
          <w:bCs/>
          <w:color w:val="14A0C2"/>
        </w:rPr>
        <w:t xml:space="preserve">To: </w:t>
      </w:r>
      <w:r w:rsidRPr="00780A2D">
        <w:rPr>
          <w:rFonts w:ascii="Helvetica Neue" w:hAnsi="Helvetica Neue" w:cs="Helvetica Neue"/>
          <w:color w:val="14A0C2"/>
        </w:rPr>
        <w:t>Minh Alexander &lt;</w:t>
      </w:r>
      <w:r w:rsidRPr="00780A2D">
        <w:rPr>
          <w:rFonts w:ascii="Helvetica Neue" w:hAnsi="Helvetica Neue" w:cs="Helvetica Neue"/>
          <w:color w:val="14A0C2"/>
        </w:rPr>
        <w:t xml:space="preserve"> </w:t>
      </w:r>
      <w:r w:rsidRPr="00780A2D">
        <w:rPr>
          <w:rFonts w:ascii="Helvetica Neue" w:hAnsi="Helvetica Neue" w:cs="Helvetica Neue"/>
          <w:color w:val="14A0C2"/>
        </w:rPr>
        <w:t>&gt;</w:t>
      </w:r>
    </w:p>
    <w:p w14:paraId="2934195A" w14:textId="77777777" w:rsidR="00780A2D" w:rsidRPr="00780A2D" w:rsidRDefault="00780A2D" w:rsidP="00780A2D">
      <w:pPr>
        <w:widowControl w:val="0"/>
        <w:autoSpaceDE w:val="0"/>
        <w:autoSpaceDN w:val="0"/>
        <w:adjustRightInd w:val="0"/>
        <w:spacing w:line="320" w:lineRule="atLeast"/>
        <w:rPr>
          <w:rFonts w:ascii="Arial" w:hAnsi="Arial" w:cs="Arial"/>
          <w:color w:val="14A0C2"/>
        </w:rPr>
      </w:pPr>
    </w:p>
    <w:p w14:paraId="4EBD6A4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Dear Dr Alexander,</w:t>
      </w:r>
    </w:p>
    <w:p w14:paraId="53A25AA4"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 </w:t>
      </w:r>
    </w:p>
    <w:p w14:paraId="167C184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Please find attached a letter from Andrea Sutcliffe CBE, Chief Inspector of Adult Social Care at the Care Quality Commission.</w:t>
      </w:r>
    </w:p>
    <w:p w14:paraId="31BD09D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 </w:t>
      </w:r>
    </w:p>
    <w:p w14:paraId="3C2EEB4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Kind regards</w:t>
      </w:r>
    </w:p>
    <w:p w14:paraId="6F04AD6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 </w:t>
      </w:r>
    </w:p>
    <w:p w14:paraId="217E160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Matt</w:t>
      </w:r>
    </w:p>
    <w:p w14:paraId="7D1ECAF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 </w:t>
      </w:r>
    </w:p>
    <w:p w14:paraId="215CBB0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Matt Docherty</w:t>
      </w:r>
    </w:p>
    <w:p w14:paraId="7D7F9AA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Correspondence Secretary</w:t>
      </w:r>
    </w:p>
    <w:p w14:paraId="235C47A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Governance &amp; Private Office</w:t>
      </w:r>
    </w:p>
    <w:p w14:paraId="263626B1"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Care Quality Commission</w:t>
      </w:r>
    </w:p>
    <w:p w14:paraId="0677174A"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21C53432" w14:textId="77777777" w:rsidR="00780A2D" w:rsidRPr="00780A2D" w:rsidRDefault="00780A2D" w:rsidP="00780A2D">
      <w:pPr>
        <w:widowControl w:val="0"/>
        <w:autoSpaceDE w:val="0"/>
        <w:autoSpaceDN w:val="0"/>
        <w:adjustRightInd w:val="0"/>
        <w:spacing w:line="380" w:lineRule="atLeast"/>
        <w:rPr>
          <w:rFonts w:ascii="Calibri" w:hAnsi="Calibri" w:cs="Calibri"/>
          <w:color w:val="14A0C2"/>
        </w:rPr>
      </w:pPr>
      <w:r w:rsidRPr="00780A2D">
        <w:rPr>
          <w:rFonts w:ascii="Calibri" w:hAnsi="Calibri" w:cs="Calibri"/>
          <w:color w:val="18376A"/>
        </w:rPr>
        <w:t> </w:t>
      </w:r>
    </w:p>
    <w:p w14:paraId="2570327D" w14:textId="77777777" w:rsidR="00780A2D" w:rsidRPr="00780A2D" w:rsidRDefault="00780A2D" w:rsidP="00780A2D">
      <w:pPr>
        <w:widowControl w:val="0"/>
        <w:autoSpaceDE w:val="0"/>
        <w:autoSpaceDN w:val="0"/>
        <w:adjustRightInd w:val="0"/>
        <w:spacing w:line="380" w:lineRule="atLeast"/>
        <w:rPr>
          <w:rFonts w:ascii="Calibri" w:hAnsi="Calibri" w:cs="Calibri"/>
          <w:color w:val="14A0C2"/>
        </w:rPr>
      </w:pPr>
      <w:r w:rsidRPr="00780A2D">
        <w:rPr>
          <w:rFonts w:ascii="Verdana" w:hAnsi="Verdana" w:cs="Verdana"/>
          <w:color w:val="14A0C2"/>
        </w:rPr>
        <w:t> </w:t>
      </w:r>
    </w:p>
    <w:p w14:paraId="5C4DB47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b/>
          <w:bCs/>
          <w:color w:val="14A0C2"/>
        </w:rPr>
        <w:t>From:</w:t>
      </w:r>
      <w:r w:rsidRPr="00780A2D">
        <w:rPr>
          <w:rFonts w:ascii="Calibri" w:hAnsi="Calibri" w:cs="Calibri"/>
          <w:color w:val="14A0C2"/>
        </w:rPr>
        <w:t xml:space="preserve"> Minh Alexander [</w:t>
      </w:r>
      <w:r w:rsidRPr="00780A2D">
        <w:rPr>
          <w:rFonts w:ascii="Calibri" w:hAnsi="Calibri" w:cs="Calibri"/>
          <w:color w:val="14A0C2"/>
        </w:rPr>
        <w:t>**********************</w:t>
      </w:r>
      <w:r w:rsidRPr="00780A2D">
        <w:rPr>
          <w:rFonts w:ascii="Calibri" w:hAnsi="Calibri" w:cs="Calibri"/>
          <w:color w:val="14A0C2"/>
        </w:rPr>
        <w:t xml:space="preserve">] </w:t>
      </w:r>
    </w:p>
    <w:p w14:paraId="2C10DE8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b/>
          <w:bCs/>
          <w:color w:val="14A0C2"/>
        </w:rPr>
        <w:t>Sent:</w:t>
      </w:r>
      <w:r w:rsidRPr="00780A2D">
        <w:rPr>
          <w:rFonts w:ascii="Calibri" w:hAnsi="Calibri" w:cs="Calibri"/>
          <w:color w:val="14A0C2"/>
        </w:rPr>
        <w:t xml:space="preserve"> 16 August 2018 08:18</w:t>
      </w:r>
    </w:p>
    <w:p w14:paraId="1E3665D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b/>
          <w:bCs/>
          <w:color w:val="14A0C2"/>
        </w:rPr>
        <w:t>To:</w:t>
      </w:r>
      <w:r w:rsidRPr="00780A2D">
        <w:rPr>
          <w:rFonts w:ascii="Calibri" w:hAnsi="Calibri" w:cs="Calibri"/>
          <w:color w:val="14A0C2"/>
        </w:rPr>
        <w:t xml:space="preserve"> Sutcliffe, Andrea &lt;</w:t>
      </w:r>
      <w:r w:rsidRPr="00780A2D">
        <w:rPr>
          <w:rFonts w:ascii="Calibri" w:hAnsi="Calibri" w:cs="Calibri"/>
          <w:color w:val="14A0C2"/>
        </w:rPr>
        <w:t>***********************</w:t>
      </w:r>
      <w:r w:rsidRPr="00780A2D">
        <w:rPr>
          <w:rFonts w:ascii="Calibri" w:hAnsi="Calibri" w:cs="Calibri"/>
          <w:color w:val="14A0C2"/>
        </w:rPr>
        <w:t>&gt;</w:t>
      </w:r>
    </w:p>
    <w:p w14:paraId="27EEDAA7"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b/>
          <w:bCs/>
          <w:color w:val="14A0C2"/>
        </w:rPr>
        <w:t>Cc:</w:t>
      </w:r>
      <w:r w:rsidRPr="00780A2D">
        <w:rPr>
          <w:rFonts w:ascii="Calibri" w:hAnsi="Calibri" w:cs="Calibri"/>
          <w:color w:val="14A0C2"/>
        </w:rPr>
        <w:t xml:space="preserve"> </w:t>
      </w:r>
      <w:r w:rsidRPr="00780A2D">
        <w:rPr>
          <w:rFonts w:ascii="Calibri" w:hAnsi="Calibri" w:cs="Calibri"/>
          <w:color w:val="14A0C2"/>
        </w:rPr>
        <w:t>************************************************************************************************************************************************************************************************</w:t>
      </w:r>
    </w:p>
    <w:p w14:paraId="11470CD1"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p>
    <w:p w14:paraId="6DC360BA"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b/>
          <w:bCs/>
          <w:color w:val="14A0C2"/>
        </w:rPr>
        <w:t>Subject:</w:t>
      </w:r>
      <w:r w:rsidRPr="00780A2D">
        <w:rPr>
          <w:rFonts w:ascii="Calibri" w:hAnsi="Calibri" w:cs="Calibri"/>
          <w:color w:val="14A0C2"/>
        </w:rPr>
        <w:t xml:space="preserve"> ET finding of unfair dismissal in a PIDA case against a social care provider and regulatory monitoring of ET1 forms</w:t>
      </w:r>
    </w:p>
    <w:p w14:paraId="7B629F4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118458C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BY EMAIL</w:t>
      </w:r>
    </w:p>
    <w:p w14:paraId="1D4FA8B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1408FC3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Andrea Sutcliffe</w:t>
      </w:r>
    </w:p>
    <w:p w14:paraId="37C1254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CQC Chief Inspector</w:t>
      </w:r>
    </w:p>
    <w:p w14:paraId="07C0A17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Adult Social Care</w:t>
      </w:r>
    </w:p>
    <w:p w14:paraId="03FFF9D4"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0E1FDD1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16 August 2018</w:t>
      </w:r>
    </w:p>
    <w:p w14:paraId="777148C4"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500174B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62E8B2CE"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Dear Ms Sutcliffe,</w:t>
      </w:r>
    </w:p>
    <w:p w14:paraId="1420668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3A08F1E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0435D82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b/>
          <w:bCs/>
          <w:color w:val="14A0C2"/>
        </w:rPr>
        <w:t>ET finding of unfair dismissal in a PIDA case against a social care provider and regulatory monitoring of ET1 forms</w:t>
      </w:r>
    </w:p>
    <w:p w14:paraId="20B14B5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4CA360C1"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xml:space="preserve">I write to draw your attention to a finding of unfair dismissal and other detriment by </w:t>
      </w:r>
      <w:proofErr w:type="spellStart"/>
      <w:r w:rsidRPr="00780A2D">
        <w:rPr>
          <w:rFonts w:ascii="Calibri" w:hAnsi="Calibri" w:cs="Calibri"/>
          <w:color w:val="14A0C2"/>
        </w:rPr>
        <w:t>Springbank</w:t>
      </w:r>
      <w:proofErr w:type="spellEnd"/>
      <w:r w:rsidRPr="00780A2D">
        <w:rPr>
          <w:rFonts w:ascii="Calibri" w:hAnsi="Calibri" w:cs="Calibri"/>
          <w:color w:val="14A0C2"/>
        </w:rPr>
        <w:t xml:space="preserve"> House Limited, trading as Cliff House Care Home, against a care home worker who claimed under PIDA:</w:t>
      </w:r>
    </w:p>
    <w:p w14:paraId="32C3AF6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182C830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hyperlink r:id="rId4" w:history="1">
        <w:r w:rsidRPr="00780A2D">
          <w:rPr>
            <w:rFonts w:ascii="Calibri" w:hAnsi="Calibri" w:cs="Calibri"/>
            <w:color w:val="6B006D"/>
            <w:u w:val="single" w:color="6B006D"/>
          </w:rPr>
          <w:t>https://www.gov.uk/employment-tribunal-decisions/miss-c-evans-v-springbank-house-ltd-t-a-cliff-house-care-home-2601192-2016</w:t>
        </w:r>
      </w:hyperlink>
    </w:p>
    <w:p w14:paraId="7EAB1BA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055192E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Cliff House Care Home was last inspected by the CQC in August 2016.</w:t>
      </w:r>
    </w:p>
    <w:p w14:paraId="257DF78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6C8E75D9"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hyperlink r:id="rId5" w:history="1">
        <w:r w:rsidRPr="00780A2D">
          <w:rPr>
            <w:rFonts w:ascii="Calibri" w:hAnsi="Calibri" w:cs="Calibri"/>
            <w:color w:val="6B006D"/>
            <w:u w:val="single" w:color="6B006D"/>
          </w:rPr>
          <w:t>https://www.cqc.org.uk/location/1-118840135</w:t>
        </w:r>
      </w:hyperlink>
    </w:p>
    <w:p w14:paraId="304BE451"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6A82D33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hyperlink r:id="rId6" w:history="1">
        <w:r w:rsidRPr="00780A2D">
          <w:rPr>
            <w:rFonts w:ascii="Calibri" w:hAnsi="Calibri" w:cs="Calibri"/>
            <w:color w:val="6B006D"/>
            <w:u w:val="single" w:color="6B006D"/>
          </w:rPr>
          <w:t>https://www.cqc.org.uk/location/1-4205591134</w:t>
        </w:r>
      </w:hyperlink>
    </w:p>
    <w:p w14:paraId="37EDAC0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33ECD06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proofErr w:type="spellStart"/>
      <w:r w:rsidRPr="00780A2D">
        <w:rPr>
          <w:rFonts w:ascii="Calibri" w:hAnsi="Calibri" w:cs="Calibri"/>
          <w:color w:val="14A0C2"/>
        </w:rPr>
        <w:t>Springbank</w:t>
      </w:r>
      <w:proofErr w:type="spellEnd"/>
      <w:r w:rsidRPr="00780A2D">
        <w:rPr>
          <w:rFonts w:ascii="Calibri" w:hAnsi="Calibri" w:cs="Calibri"/>
          <w:color w:val="14A0C2"/>
        </w:rPr>
        <w:t xml:space="preserve"> House Limited was wound up in January 2018 and the care home is now run by </w:t>
      </w:r>
      <w:proofErr w:type="spellStart"/>
      <w:r w:rsidRPr="00780A2D">
        <w:rPr>
          <w:rFonts w:ascii="Calibri" w:hAnsi="Calibri" w:cs="Calibri"/>
          <w:color w:val="14A0C2"/>
        </w:rPr>
        <w:t>Knightingale</w:t>
      </w:r>
      <w:proofErr w:type="spellEnd"/>
      <w:r w:rsidRPr="00780A2D">
        <w:rPr>
          <w:rFonts w:ascii="Calibri" w:hAnsi="Calibri" w:cs="Calibri"/>
          <w:color w:val="14A0C2"/>
        </w:rPr>
        <w:t xml:space="preserve"> Care Limited:</w:t>
      </w:r>
    </w:p>
    <w:p w14:paraId="1F049734"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0E2962D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hyperlink r:id="rId7" w:history="1">
        <w:r w:rsidRPr="00780A2D">
          <w:rPr>
            <w:rFonts w:ascii="Calibri" w:hAnsi="Calibri" w:cs="Calibri"/>
            <w:color w:val="6B006D"/>
            <w:u w:val="single" w:color="6B006D"/>
          </w:rPr>
          <w:t>https://www.cqc.org.uk/provider/1-119233104</w:t>
        </w:r>
      </w:hyperlink>
    </w:p>
    <w:p w14:paraId="64C06C8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45103BE7"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xml:space="preserve">FPPR now seems redundant in the light of the original, relevant provider associated </w:t>
      </w:r>
      <w:proofErr w:type="spellStart"/>
      <w:r w:rsidRPr="00780A2D">
        <w:rPr>
          <w:rFonts w:ascii="Calibri" w:hAnsi="Calibri" w:cs="Calibri"/>
          <w:color w:val="14A0C2"/>
        </w:rPr>
        <w:t>whistleblower</w:t>
      </w:r>
      <w:proofErr w:type="spellEnd"/>
      <w:r w:rsidRPr="00780A2D">
        <w:rPr>
          <w:rFonts w:ascii="Calibri" w:hAnsi="Calibri" w:cs="Calibri"/>
          <w:color w:val="14A0C2"/>
        </w:rPr>
        <w:t xml:space="preserve"> reprisal being wound up.</w:t>
      </w:r>
    </w:p>
    <w:p w14:paraId="1AD6E3F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40F516E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However, the sequence of events does raise a question of whether and how CQC monitors the ET1 claim forms that it is sent by the Employment Tribunal in whistleblowing cases, in its capacity as a Prescribed Person, and whether CQC joins up the dots to feed such intelligence into its inspection and FPPR processes.</w:t>
      </w:r>
    </w:p>
    <w:p w14:paraId="157DA73E"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1085B5E4"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CQC’s tracking of ET1 forms is an issue that was raised over a year ago via the National Guardian. The relevant correspondence is provided below.</w:t>
      </w:r>
    </w:p>
    <w:p w14:paraId="749FA06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2ADA631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I would be grateful to know if CQC now has a specific protocol for managing notifications of whistleblowing events via ET1 forms and acting upon them.</w:t>
      </w:r>
    </w:p>
    <w:p w14:paraId="17176B8E"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7885DB0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xml:space="preserve">I copy this to Dr Philippa Whitford and the ministers for Health and Social Care in view on the renewed debate on reform of whistleblowing law following the Gosport inquiry, and to the </w:t>
      </w:r>
      <w:proofErr w:type="spellStart"/>
      <w:r w:rsidRPr="00780A2D">
        <w:rPr>
          <w:rFonts w:ascii="Calibri" w:hAnsi="Calibri" w:cs="Calibri"/>
          <w:color w:val="14A0C2"/>
        </w:rPr>
        <w:t>Kark</w:t>
      </w:r>
      <w:proofErr w:type="spellEnd"/>
      <w:r w:rsidRPr="00780A2D">
        <w:rPr>
          <w:rFonts w:ascii="Calibri" w:hAnsi="Calibri" w:cs="Calibri"/>
          <w:color w:val="14A0C2"/>
        </w:rPr>
        <w:t xml:space="preserve"> FPPR review team, Bishop James Jones’ Office, the National Guardian and </w:t>
      </w:r>
      <w:proofErr w:type="spellStart"/>
      <w:r w:rsidRPr="00780A2D">
        <w:rPr>
          <w:rFonts w:ascii="Calibri" w:hAnsi="Calibri" w:cs="Calibri"/>
          <w:color w:val="14A0C2"/>
        </w:rPr>
        <w:t>whistleblower</w:t>
      </w:r>
      <w:proofErr w:type="spellEnd"/>
      <w:r w:rsidRPr="00780A2D">
        <w:rPr>
          <w:rFonts w:ascii="Calibri" w:hAnsi="Calibri" w:cs="Calibri"/>
          <w:color w:val="14A0C2"/>
        </w:rPr>
        <w:t xml:space="preserve"> colleagues who are working on whistleblowing law reform.</w:t>
      </w:r>
    </w:p>
    <w:p w14:paraId="4230C7CE"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646DF417"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6939F06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Yours sincerely,</w:t>
      </w:r>
    </w:p>
    <w:p w14:paraId="6EC91F7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34C84BCE"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Dr Minh Alexander</w:t>
      </w:r>
    </w:p>
    <w:p w14:paraId="0310ED3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3B680BA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cc Dr Philippa Whitford </w:t>
      </w:r>
    </w:p>
    <w:p w14:paraId="2192D404"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Steve Barclay</w:t>
      </w:r>
    </w:p>
    <w:p w14:paraId="18DC7499"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xml:space="preserve">     Caroline </w:t>
      </w:r>
      <w:proofErr w:type="spellStart"/>
      <w:r w:rsidRPr="00780A2D">
        <w:rPr>
          <w:rFonts w:ascii="Calibri" w:hAnsi="Calibri" w:cs="Calibri"/>
          <w:color w:val="14A0C2"/>
        </w:rPr>
        <w:t>Dinenagehen</w:t>
      </w:r>
      <w:proofErr w:type="spellEnd"/>
    </w:p>
    <w:p w14:paraId="5C71CE9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xml:space="preserve">     Tom </w:t>
      </w:r>
      <w:proofErr w:type="spellStart"/>
      <w:r w:rsidRPr="00780A2D">
        <w:rPr>
          <w:rFonts w:ascii="Calibri" w:hAnsi="Calibri" w:cs="Calibri"/>
          <w:color w:val="14A0C2"/>
        </w:rPr>
        <w:t>Kark</w:t>
      </w:r>
      <w:proofErr w:type="spellEnd"/>
      <w:r w:rsidRPr="00780A2D">
        <w:rPr>
          <w:rFonts w:ascii="Calibri" w:hAnsi="Calibri" w:cs="Calibri"/>
          <w:color w:val="14A0C2"/>
        </w:rPr>
        <w:t xml:space="preserve"> QC</w:t>
      </w:r>
    </w:p>
    <w:p w14:paraId="150EB1B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Jane Russell</w:t>
      </w:r>
    </w:p>
    <w:p w14:paraId="6FC3E0C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Bishop James Jones</w:t>
      </w:r>
    </w:p>
    <w:p w14:paraId="489296A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Dr Henrietta Hughes</w:t>
      </w:r>
    </w:p>
    <w:p w14:paraId="3AAA10E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xml:space="preserve">     Clare </w:t>
      </w:r>
      <w:proofErr w:type="spellStart"/>
      <w:r w:rsidRPr="00780A2D">
        <w:rPr>
          <w:rFonts w:ascii="Calibri" w:hAnsi="Calibri" w:cs="Calibri"/>
          <w:color w:val="14A0C2"/>
        </w:rPr>
        <w:t>Sardari</w:t>
      </w:r>
      <w:proofErr w:type="spellEnd"/>
    </w:p>
    <w:p w14:paraId="295678E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Martin Morton</w:t>
      </w:r>
    </w:p>
    <w:p w14:paraId="75683437"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39A8121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7FCA328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0B02284A" w14:textId="77777777" w:rsidR="00780A2D" w:rsidRPr="00780A2D" w:rsidRDefault="00780A2D" w:rsidP="00780A2D">
      <w:pPr>
        <w:widowControl w:val="0"/>
        <w:autoSpaceDE w:val="0"/>
        <w:autoSpaceDN w:val="0"/>
        <w:adjustRightInd w:val="0"/>
        <w:spacing w:line="340" w:lineRule="atLeast"/>
        <w:rPr>
          <w:rFonts w:ascii="Calibri" w:hAnsi="Calibri" w:cs="Calibri"/>
          <w:color w:val="14A0C2"/>
        </w:rPr>
      </w:pPr>
      <w:r w:rsidRPr="00780A2D">
        <w:rPr>
          <w:rFonts w:ascii="Helvetica" w:hAnsi="Helvetica" w:cs="Helvetica"/>
          <w:b/>
          <w:bCs/>
          <w:color w:val="14A0C2"/>
        </w:rPr>
        <w:t>From: </w:t>
      </w:r>
      <w:r w:rsidRPr="00780A2D">
        <w:rPr>
          <w:rFonts w:ascii="Helvetica" w:hAnsi="Helvetica" w:cs="Helvetica"/>
          <w:color w:val="14A0C2"/>
        </w:rPr>
        <w:t>"Hughes, Henrietta" &lt;</w:t>
      </w:r>
      <w:r w:rsidRPr="00780A2D">
        <w:rPr>
          <w:rFonts w:ascii="Helvetica" w:hAnsi="Helvetica" w:cs="Helvetica"/>
          <w:color w:val="14A0C2"/>
        </w:rPr>
        <w:t>****************************</w:t>
      </w:r>
      <w:r w:rsidRPr="00780A2D">
        <w:rPr>
          <w:rFonts w:ascii="Helvetica" w:hAnsi="Helvetica" w:cs="Helvetica"/>
          <w:color w:val="14A0C2"/>
        </w:rPr>
        <w:t>&gt;</w:t>
      </w:r>
    </w:p>
    <w:p w14:paraId="6CD04312" w14:textId="77777777" w:rsidR="00780A2D" w:rsidRPr="00780A2D" w:rsidRDefault="00780A2D" w:rsidP="00780A2D">
      <w:pPr>
        <w:widowControl w:val="0"/>
        <w:autoSpaceDE w:val="0"/>
        <w:autoSpaceDN w:val="0"/>
        <w:adjustRightInd w:val="0"/>
        <w:spacing w:line="340" w:lineRule="atLeast"/>
        <w:rPr>
          <w:rFonts w:ascii="Calibri" w:hAnsi="Calibri" w:cs="Calibri"/>
          <w:color w:val="14A0C2"/>
        </w:rPr>
      </w:pPr>
      <w:r w:rsidRPr="00780A2D">
        <w:rPr>
          <w:rFonts w:ascii="Helvetica" w:hAnsi="Helvetica" w:cs="Helvetica"/>
          <w:b/>
          <w:bCs/>
          <w:color w:val="14A0C2"/>
        </w:rPr>
        <w:t>Subject: RE: CQC’s tracking of and learning from ET1 form whistleblowing intelligence</w:t>
      </w:r>
    </w:p>
    <w:p w14:paraId="0CA9FF7B" w14:textId="77777777" w:rsidR="00780A2D" w:rsidRPr="00780A2D" w:rsidRDefault="00780A2D" w:rsidP="00780A2D">
      <w:pPr>
        <w:widowControl w:val="0"/>
        <w:autoSpaceDE w:val="0"/>
        <w:autoSpaceDN w:val="0"/>
        <w:adjustRightInd w:val="0"/>
        <w:spacing w:line="340" w:lineRule="atLeast"/>
        <w:rPr>
          <w:rFonts w:ascii="Calibri" w:hAnsi="Calibri" w:cs="Calibri"/>
          <w:color w:val="14A0C2"/>
        </w:rPr>
      </w:pPr>
      <w:r w:rsidRPr="00780A2D">
        <w:rPr>
          <w:rFonts w:ascii="Helvetica" w:hAnsi="Helvetica" w:cs="Helvetica"/>
          <w:b/>
          <w:bCs/>
          <w:color w:val="14A0C2"/>
        </w:rPr>
        <w:t>Date: </w:t>
      </w:r>
      <w:r w:rsidRPr="00780A2D">
        <w:rPr>
          <w:rFonts w:ascii="Helvetica" w:hAnsi="Helvetica" w:cs="Helvetica"/>
          <w:color w:val="14A0C2"/>
        </w:rPr>
        <w:t>8 May 2017 at 08:49:52 BST</w:t>
      </w:r>
    </w:p>
    <w:p w14:paraId="70BAC18F" w14:textId="77777777" w:rsidR="00780A2D" w:rsidRPr="00780A2D" w:rsidRDefault="00780A2D" w:rsidP="00780A2D">
      <w:pPr>
        <w:widowControl w:val="0"/>
        <w:autoSpaceDE w:val="0"/>
        <w:autoSpaceDN w:val="0"/>
        <w:adjustRightInd w:val="0"/>
        <w:spacing w:line="340" w:lineRule="atLeast"/>
        <w:rPr>
          <w:rFonts w:ascii="Calibri" w:hAnsi="Calibri" w:cs="Calibri"/>
          <w:color w:val="14A0C2"/>
        </w:rPr>
      </w:pPr>
      <w:r w:rsidRPr="00780A2D">
        <w:rPr>
          <w:rFonts w:ascii="Helvetica" w:hAnsi="Helvetica" w:cs="Helvetica"/>
          <w:b/>
          <w:bCs/>
          <w:color w:val="14A0C2"/>
        </w:rPr>
        <w:t>To: </w:t>
      </w:r>
      <w:r w:rsidRPr="00780A2D">
        <w:rPr>
          <w:rFonts w:ascii="Helvetica" w:hAnsi="Helvetica" w:cs="Helvetica"/>
          <w:color w:val="14A0C2"/>
        </w:rPr>
        <w:t>Minh Alexander &lt;</w:t>
      </w:r>
      <w:r w:rsidRPr="00780A2D">
        <w:rPr>
          <w:rFonts w:ascii="Helvetica" w:hAnsi="Helvetica" w:cs="Helvetica"/>
          <w:color w:val="14A0C2"/>
        </w:rPr>
        <w:t>*************************</w:t>
      </w:r>
      <w:r w:rsidRPr="00780A2D">
        <w:rPr>
          <w:rFonts w:ascii="Helvetica" w:hAnsi="Helvetica" w:cs="Helvetica"/>
          <w:color w:val="14A0C2"/>
        </w:rPr>
        <w:t>&gt;</w:t>
      </w:r>
    </w:p>
    <w:p w14:paraId="47A08DC6" w14:textId="77777777" w:rsidR="00780A2D" w:rsidRPr="00780A2D" w:rsidRDefault="00780A2D" w:rsidP="00780A2D">
      <w:pPr>
        <w:widowControl w:val="0"/>
        <w:autoSpaceDE w:val="0"/>
        <w:autoSpaceDN w:val="0"/>
        <w:adjustRightInd w:val="0"/>
        <w:spacing w:line="340" w:lineRule="atLeast"/>
        <w:rPr>
          <w:rFonts w:ascii="Calibri" w:hAnsi="Calibri" w:cs="Calibri"/>
          <w:color w:val="14A0C2"/>
        </w:rPr>
      </w:pPr>
      <w:r w:rsidRPr="00780A2D">
        <w:rPr>
          <w:rFonts w:ascii="Helvetica" w:hAnsi="Helvetica" w:cs="Helvetica"/>
          <w:b/>
          <w:bCs/>
          <w:color w:val="14A0C2"/>
        </w:rPr>
        <w:t>Cc: </w:t>
      </w:r>
      <w:r w:rsidRPr="00780A2D">
        <w:rPr>
          <w:rFonts w:ascii="Helvetica" w:hAnsi="Helvetica" w:cs="Helvetica"/>
          <w:color w:val="14A0C2"/>
        </w:rPr>
        <w:t>*************************************************************************************************************************************************************************************************************************************************************************************************************************************************************************************************************************************************************************************************************************************************************************************************************************************************************************************************************************************************************</w:t>
      </w:r>
    </w:p>
    <w:p w14:paraId="756BC476" w14:textId="77777777" w:rsidR="00780A2D" w:rsidRPr="00780A2D" w:rsidRDefault="00780A2D" w:rsidP="00780A2D">
      <w:pPr>
        <w:widowControl w:val="0"/>
        <w:autoSpaceDE w:val="0"/>
        <w:autoSpaceDN w:val="0"/>
        <w:adjustRightInd w:val="0"/>
        <w:spacing w:line="340" w:lineRule="atLeast"/>
        <w:rPr>
          <w:rFonts w:ascii="Calibri" w:hAnsi="Calibri" w:cs="Calibri"/>
          <w:color w:val="14A0C2"/>
        </w:rPr>
      </w:pPr>
      <w:r w:rsidRPr="00780A2D">
        <w:rPr>
          <w:rFonts w:ascii="Arial" w:hAnsi="Arial" w:cs="Arial"/>
          <w:color w:val="14A0C2"/>
        </w:rPr>
        <w:t> </w:t>
      </w:r>
    </w:p>
    <w:p w14:paraId="425CD369" w14:textId="77777777" w:rsidR="00780A2D" w:rsidRPr="00780A2D" w:rsidRDefault="00780A2D" w:rsidP="00780A2D">
      <w:pPr>
        <w:widowControl w:val="0"/>
        <w:autoSpaceDE w:val="0"/>
        <w:autoSpaceDN w:val="0"/>
        <w:adjustRightInd w:val="0"/>
        <w:spacing w:after="320" w:line="360" w:lineRule="atLeast"/>
        <w:rPr>
          <w:rFonts w:ascii="Calibri" w:hAnsi="Calibri" w:cs="Calibri"/>
          <w:color w:val="14A0C2"/>
        </w:rPr>
      </w:pPr>
      <w:r w:rsidRPr="00780A2D">
        <w:rPr>
          <w:rFonts w:ascii="Times New Roman" w:hAnsi="Times New Roman" w:cs="Times New Roman"/>
          <w:color w:val="14A0C2"/>
        </w:rPr>
        <w:t>Dear Dr Alexander</w:t>
      </w:r>
      <w:r w:rsidRPr="00780A2D">
        <w:rPr>
          <w:rFonts w:ascii="MS Mincho" w:eastAsia="MS Mincho" w:hAnsi="MS Mincho" w:cs="MS Mincho"/>
          <w:color w:val="14A0C2"/>
        </w:rPr>
        <w:t>  </w:t>
      </w:r>
      <w:r w:rsidRPr="00780A2D">
        <w:rPr>
          <w:rFonts w:ascii="Times New Roman" w:hAnsi="Times New Roman" w:cs="Times New Roman"/>
          <w:color w:val="14A0C2"/>
        </w:rPr>
        <w:t>Thank you, we acknowledge the potential importance off ET1 forms, this is a complex area that we will be considering carefully</w:t>
      </w:r>
      <w:r w:rsidRPr="00780A2D">
        <w:rPr>
          <w:rFonts w:ascii="MS Mincho" w:eastAsia="MS Mincho" w:hAnsi="MS Mincho" w:cs="MS Mincho"/>
          <w:color w:val="14A0C2"/>
        </w:rPr>
        <w:t>  </w:t>
      </w:r>
      <w:r w:rsidRPr="00780A2D">
        <w:rPr>
          <w:rFonts w:ascii="Times New Roman" w:hAnsi="Times New Roman" w:cs="Times New Roman"/>
          <w:color w:val="14A0C2"/>
        </w:rPr>
        <w:t>Kind regards </w:t>
      </w:r>
      <w:r w:rsidRPr="00780A2D">
        <w:rPr>
          <w:rFonts w:ascii="MS Mincho" w:eastAsia="MS Mincho" w:hAnsi="MS Mincho" w:cs="MS Mincho"/>
          <w:color w:val="14A0C2"/>
        </w:rPr>
        <w:t> </w:t>
      </w:r>
      <w:r w:rsidRPr="00780A2D">
        <w:rPr>
          <w:rFonts w:ascii="Times New Roman" w:hAnsi="Times New Roman" w:cs="Times New Roman"/>
          <w:color w:val="14A0C2"/>
        </w:rPr>
        <w:t>Henrietta </w:t>
      </w:r>
    </w:p>
    <w:p w14:paraId="7E27366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 </w:t>
      </w:r>
    </w:p>
    <w:p w14:paraId="415E6C9A"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Arial" w:hAnsi="Arial" w:cs="Arial"/>
          <w:color w:val="14A0C2"/>
        </w:rPr>
        <w:t> </w:t>
      </w:r>
    </w:p>
    <w:p w14:paraId="5E791481" w14:textId="77777777" w:rsidR="00780A2D" w:rsidRPr="00780A2D" w:rsidRDefault="00780A2D" w:rsidP="00780A2D">
      <w:pPr>
        <w:widowControl w:val="0"/>
        <w:autoSpaceDE w:val="0"/>
        <w:autoSpaceDN w:val="0"/>
        <w:adjustRightInd w:val="0"/>
        <w:spacing w:line="320" w:lineRule="atLeast"/>
        <w:rPr>
          <w:rFonts w:ascii="Tahoma" w:hAnsi="Tahoma" w:cs="Tahoma"/>
          <w:color w:val="14A0C2"/>
        </w:rPr>
      </w:pPr>
      <w:r w:rsidRPr="00780A2D">
        <w:rPr>
          <w:rFonts w:ascii="Tahoma" w:hAnsi="Tahoma" w:cs="Tahoma"/>
          <w:b/>
          <w:bCs/>
          <w:color w:val="14A0C2"/>
        </w:rPr>
        <w:t>From:</w:t>
      </w:r>
      <w:r w:rsidRPr="00780A2D">
        <w:rPr>
          <w:rFonts w:ascii="Tahoma" w:hAnsi="Tahoma" w:cs="Tahoma"/>
          <w:color w:val="14A0C2"/>
        </w:rPr>
        <w:t> Minh Alexander [</w:t>
      </w:r>
      <w:r w:rsidRPr="00780A2D">
        <w:rPr>
          <w:rFonts w:ascii="Tahoma" w:hAnsi="Tahoma" w:cs="Tahoma"/>
          <w:color w:val="14A0C2"/>
        </w:rPr>
        <w:t>**************************</w:t>
      </w:r>
      <w:r w:rsidRPr="00780A2D">
        <w:rPr>
          <w:rFonts w:ascii="Tahoma" w:hAnsi="Tahoma" w:cs="Tahoma"/>
          <w:color w:val="14A0C2"/>
        </w:rPr>
        <w:t>] </w:t>
      </w:r>
    </w:p>
    <w:p w14:paraId="66147A6B" w14:textId="77777777" w:rsidR="00780A2D" w:rsidRPr="00780A2D" w:rsidRDefault="00780A2D" w:rsidP="00780A2D">
      <w:pPr>
        <w:widowControl w:val="0"/>
        <w:autoSpaceDE w:val="0"/>
        <w:autoSpaceDN w:val="0"/>
        <w:adjustRightInd w:val="0"/>
        <w:spacing w:line="320" w:lineRule="atLeast"/>
        <w:rPr>
          <w:rFonts w:ascii="Tahoma" w:hAnsi="Tahoma" w:cs="Tahoma"/>
          <w:color w:val="14A0C2"/>
        </w:rPr>
      </w:pPr>
      <w:r w:rsidRPr="00780A2D">
        <w:rPr>
          <w:rFonts w:ascii="Tahoma" w:hAnsi="Tahoma" w:cs="Tahoma"/>
          <w:b/>
          <w:bCs/>
          <w:color w:val="14A0C2"/>
        </w:rPr>
        <w:t>Sent:</w:t>
      </w:r>
      <w:r w:rsidRPr="00780A2D">
        <w:rPr>
          <w:rFonts w:ascii="Tahoma" w:hAnsi="Tahoma" w:cs="Tahoma"/>
          <w:color w:val="14A0C2"/>
        </w:rPr>
        <w:t> 03 May 2017 18:56</w:t>
      </w:r>
    </w:p>
    <w:p w14:paraId="3AA947BE" w14:textId="77777777" w:rsidR="00780A2D" w:rsidRPr="00780A2D" w:rsidRDefault="00780A2D" w:rsidP="00780A2D">
      <w:pPr>
        <w:widowControl w:val="0"/>
        <w:autoSpaceDE w:val="0"/>
        <w:autoSpaceDN w:val="0"/>
        <w:adjustRightInd w:val="0"/>
        <w:spacing w:line="320" w:lineRule="atLeast"/>
        <w:rPr>
          <w:rFonts w:ascii="Tahoma" w:hAnsi="Tahoma" w:cs="Tahoma"/>
          <w:color w:val="14A0C2"/>
        </w:rPr>
      </w:pPr>
      <w:r w:rsidRPr="00780A2D">
        <w:rPr>
          <w:rFonts w:ascii="Tahoma" w:hAnsi="Tahoma" w:cs="Tahoma"/>
          <w:b/>
          <w:bCs/>
          <w:color w:val="14A0C2"/>
        </w:rPr>
        <w:t>To:</w:t>
      </w:r>
      <w:r w:rsidRPr="00780A2D">
        <w:rPr>
          <w:rFonts w:ascii="Tahoma" w:hAnsi="Tahoma" w:cs="Tahoma"/>
          <w:color w:val="14A0C2"/>
        </w:rPr>
        <w:t> Hughes, Henrietta</w:t>
      </w:r>
    </w:p>
    <w:p w14:paraId="0B321AF2" w14:textId="77777777" w:rsidR="00780A2D" w:rsidRPr="00780A2D" w:rsidRDefault="00780A2D" w:rsidP="00780A2D">
      <w:pPr>
        <w:widowControl w:val="0"/>
        <w:autoSpaceDE w:val="0"/>
        <w:autoSpaceDN w:val="0"/>
        <w:adjustRightInd w:val="0"/>
        <w:spacing w:line="340" w:lineRule="atLeast"/>
        <w:rPr>
          <w:rFonts w:ascii="Calibri" w:hAnsi="Calibri" w:cs="Calibri"/>
          <w:color w:val="14A0C2"/>
        </w:rPr>
      </w:pPr>
      <w:r w:rsidRPr="00780A2D">
        <w:rPr>
          <w:rFonts w:ascii="Tahoma" w:hAnsi="Tahoma" w:cs="Tahoma"/>
          <w:b/>
          <w:bCs/>
          <w:color w:val="14A0C2"/>
        </w:rPr>
        <w:t>Cc:</w:t>
      </w:r>
      <w:r w:rsidRPr="00780A2D">
        <w:rPr>
          <w:rFonts w:ascii="Tahoma" w:hAnsi="Tahoma" w:cs="Tahoma"/>
          <w:color w:val="14A0C2"/>
        </w:rPr>
        <w:t> </w:t>
      </w:r>
      <w:r w:rsidRPr="00780A2D">
        <w:rPr>
          <w:rFonts w:ascii="Tahoma" w:hAnsi="Tahoma" w:cs="Tahoma"/>
          <w:color w:val="14A0C2"/>
        </w:rPr>
        <w:t xml:space="preserve"> </w:t>
      </w:r>
      <w:r w:rsidRPr="00780A2D">
        <w:rPr>
          <w:rFonts w:ascii="Helvetica" w:hAnsi="Helvetica" w:cs="Helvetica"/>
          <w:color w:val="14A0C2"/>
        </w:rPr>
        <w:t>*************************************************************************************************************************************************************************************************************************************************************************************************************************************************************************************************************************************************************************************************************************************************************************************************************************************************************************************************************************************************************</w:t>
      </w:r>
    </w:p>
    <w:p w14:paraId="1C405E01" w14:textId="77777777" w:rsidR="00780A2D" w:rsidRPr="00780A2D" w:rsidRDefault="00780A2D" w:rsidP="00780A2D">
      <w:pPr>
        <w:widowControl w:val="0"/>
        <w:autoSpaceDE w:val="0"/>
        <w:autoSpaceDN w:val="0"/>
        <w:adjustRightInd w:val="0"/>
        <w:spacing w:line="320" w:lineRule="atLeast"/>
        <w:rPr>
          <w:rFonts w:ascii="Tahoma" w:hAnsi="Tahoma" w:cs="Tahoma"/>
          <w:color w:val="14A0C2"/>
        </w:rPr>
      </w:pPr>
    </w:p>
    <w:p w14:paraId="6C6306A8" w14:textId="77777777" w:rsidR="00780A2D" w:rsidRPr="00780A2D" w:rsidRDefault="00780A2D" w:rsidP="00780A2D">
      <w:pPr>
        <w:widowControl w:val="0"/>
        <w:autoSpaceDE w:val="0"/>
        <w:autoSpaceDN w:val="0"/>
        <w:adjustRightInd w:val="0"/>
        <w:spacing w:line="320" w:lineRule="atLeast"/>
        <w:rPr>
          <w:rFonts w:ascii="Tahoma" w:hAnsi="Tahoma" w:cs="Tahoma"/>
          <w:b/>
          <w:bCs/>
          <w:color w:val="14A0C2"/>
        </w:rPr>
      </w:pPr>
    </w:p>
    <w:p w14:paraId="2E034103" w14:textId="77777777" w:rsidR="00780A2D" w:rsidRPr="00780A2D" w:rsidRDefault="00780A2D" w:rsidP="00780A2D">
      <w:pPr>
        <w:widowControl w:val="0"/>
        <w:autoSpaceDE w:val="0"/>
        <w:autoSpaceDN w:val="0"/>
        <w:adjustRightInd w:val="0"/>
        <w:spacing w:line="320" w:lineRule="atLeast"/>
        <w:rPr>
          <w:rFonts w:ascii="Calibri" w:hAnsi="Calibri" w:cs="Calibri"/>
          <w:color w:val="14A0C2"/>
        </w:rPr>
      </w:pPr>
      <w:r w:rsidRPr="00780A2D">
        <w:rPr>
          <w:rFonts w:ascii="Tahoma" w:hAnsi="Tahoma" w:cs="Tahoma"/>
          <w:b/>
          <w:bCs/>
          <w:color w:val="14A0C2"/>
        </w:rPr>
        <w:t>Subject:</w:t>
      </w:r>
      <w:r w:rsidRPr="00780A2D">
        <w:rPr>
          <w:rFonts w:ascii="Tahoma" w:hAnsi="Tahoma" w:cs="Tahoma"/>
          <w:color w:val="14A0C2"/>
        </w:rPr>
        <w:t> CQC’s tracking of and learning from ET1 form whistleblowing intelligence</w:t>
      </w:r>
    </w:p>
    <w:p w14:paraId="4DE1CBC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6A54951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To Dr Henrietta Hughes, National Freedom to Speak Up Guardian, 3 May 2017</w:t>
      </w:r>
    </w:p>
    <w:p w14:paraId="49E9A6B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23ACCBB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3710D9A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Dear Dr Hughes,</w:t>
      </w:r>
    </w:p>
    <w:p w14:paraId="1C7B3DF4"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3F04826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b/>
          <w:bCs/>
          <w:color w:val="14A0C2"/>
        </w:rPr>
        <w:t>CQC’s tracking of and learning from ET1 form intelligence</w:t>
      </w:r>
    </w:p>
    <w:p w14:paraId="2B0B44D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6A5CD86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The CQC as a Prescribed Person under the Public Interest Disclosure Act receives ET1 forms on whistleblowing claims from the Employment Tribunal, whenever claimants indicate on the ET1 form that they consent to their data being shared with regulators.</w:t>
      </w:r>
    </w:p>
    <w:p w14:paraId="06E5C6C7"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380762F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ET1 forms are arguably an important marker of the most badly handled whistleblowing cases, in that claimants will usually have suffered very serious detriment - such as dismissal - by the time that workers decide to make a claim.</w:t>
      </w:r>
    </w:p>
    <w:p w14:paraId="0E6D3B3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0F853C0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xml:space="preserve">However, on 27 October 2016 the CQC disclosed via an FOI to Clare </w:t>
      </w:r>
      <w:proofErr w:type="spellStart"/>
      <w:r w:rsidRPr="00780A2D">
        <w:rPr>
          <w:rFonts w:ascii="Times New Roman" w:hAnsi="Times New Roman" w:cs="Times New Roman"/>
          <w:color w:val="14A0C2"/>
        </w:rPr>
        <w:t>Sardari</w:t>
      </w:r>
      <w:proofErr w:type="spellEnd"/>
      <w:r w:rsidRPr="00780A2D">
        <w:rPr>
          <w:rFonts w:ascii="Times New Roman" w:hAnsi="Times New Roman" w:cs="Times New Roman"/>
          <w:color w:val="14A0C2"/>
        </w:rPr>
        <w:t xml:space="preserve"> NHS </w:t>
      </w:r>
      <w:proofErr w:type="spellStart"/>
      <w:r w:rsidRPr="00780A2D">
        <w:rPr>
          <w:rFonts w:ascii="Times New Roman" w:hAnsi="Times New Roman" w:cs="Times New Roman"/>
          <w:color w:val="14A0C2"/>
        </w:rPr>
        <w:t>whistleblower</w:t>
      </w:r>
      <w:proofErr w:type="spellEnd"/>
      <w:r w:rsidRPr="00780A2D">
        <w:rPr>
          <w:rFonts w:ascii="Times New Roman" w:hAnsi="Times New Roman" w:cs="Times New Roman"/>
          <w:color w:val="14A0C2"/>
        </w:rPr>
        <w:t xml:space="preserve"> that: </w:t>
      </w:r>
    </w:p>
    <w:p w14:paraId="055D390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6461A2D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10B2435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b/>
          <w:bCs/>
          <w:i/>
          <w:iCs/>
          <w:color w:val="14A0C2"/>
        </w:rPr>
        <w:t>“We do not log or record ET1 forms in a central database and have not conducted an overall analysis"</w:t>
      </w:r>
    </w:p>
    <w:p w14:paraId="21CE43E3"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010F28C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hyperlink r:id="rId8" w:history="1">
        <w:r w:rsidRPr="00780A2D">
          <w:rPr>
            <w:rFonts w:ascii="Times New Roman" w:hAnsi="Times New Roman" w:cs="Times New Roman"/>
            <w:color w:val="6B006D"/>
            <w:u w:val="single" w:color="6B006D"/>
          </w:rPr>
          <w:t>https://minhalexander.files.wordpress.com/2016/09/cqc-foi-response-et1-intelligence-27-october-2016.pdf</w:t>
        </w:r>
      </w:hyperlink>
    </w:p>
    <w:p w14:paraId="3D9CB89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4062E96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This would seem to be a significant omission and a missed opportunity for learning.</w:t>
      </w:r>
    </w:p>
    <w:p w14:paraId="2D9FEFBA"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6BBC82F7"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I have now received information that ACAS’ records show 376 Employment Tribunal whistleblowing claims have been made in ‘Health and Social Care’ in the last three financial years:</w:t>
      </w:r>
    </w:p>
    <w:p w14:paraId="39F93A1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2937321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hyperlink r:id="rId9" w:history="1">
        <w:r w:rsidRPr="00780A2D">
          <w:rPr>
            <w:rFonts w:ascii="Times New Roman" w:hAnsi="Times New Roman" w:cs="Times New Roman"/>
            <w:color w:val="6B006D"/>
            <w:u w:val="single" w:color="6B006D"/>
          </w:rPr>
          <w:t>https://minhalexander.files.wordpress.com/2016/09/acas-pida-claims-in-health-and-social-care-foi-2017-006-2-review-alexander.pdf</w:t>
        </w:r>
      </w:hyperlink>
    </w:p>
    <w:p w14:paraId="4589881A"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48372EED"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This emphasises the importance of proper learning by CQC from these serious cases, and the need for CQC and the National Guardian to proactively track numbers and patterns as part of monitoring progress in whistleblowing governance.</w:t>
      </w:r>
    </w:p>
    <w:p w14:paraId="08102001"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6DA87B09"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xml:space="preserve">You will see from the ACAS data that ACAS reports that it is not </w:t>
      </w:r>
      <w:proofErr w:type="gramStart"/>
      <w:r w:rsidRPr="00780A2D">
        <w:rPr>
          <w:rFonts w:ascii="Times New Roman" w:hAnsi="Times New Roman" w:cs="Times New Roman"/>
          <w:color w:val="14A0C2"/>
        </w:rPr>
        <w:t>in a position to</w:t>
      </w:r>
      <w:proofErr w:type="gramEnd"/>
      <w:r w:rsidRPr="00780A2D">
        <w:rPr>
          <w:rFonts w:ascii="Times New Roman" w:hAnsi="Times New Roman" w:cs="Times New Roman"/>
          <w:color w:val="14A0C2"/>
        </w:rPr>
        <w:t xml:space="preserve"> give specific data on the number of NHS whistleblowing claims.</w:t>
      </w:r>
    </w:p>
    <w:p w14:paraId="7384FCB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4FDF901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It is especially important therefore that CQC starts counting such cases.</w:t>
      </w:r>
    </w:p>
    <w:p w14:paraId="4EA757D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04E271C9"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I hope you can help effect progress in this area.</w:t>
      </w:r>
    </w:p>
    <w:p w14:paraId="7E33DDD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26D29FA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Yours sincerely,</w:t>
      </w:r>
    </w:p>
    <w:p w14:paraId="7943B0FE"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34E9EC9F"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Dr Minh Alexander</w:t>
      </w:r>
    </w:p>
    <w:p w14:paraId="0D275C6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3A112161"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3E3A5C08"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cc</w:t>
      </w:r>
    </w:p>
    <w:p w14:paraId="5FE977E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w:t>
      </w:r>
    </w:p>
    <w:p w14:paraId="1AAA6A7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Health Committee</w:t>
      </w:r>
    </w:p>
    <w:p w14:paraId="16C3D10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Public Accounts Committee</w:t>
      </w:r>
    </w:p>
    <w:p w14:paraId="71375D19"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Public Administration and Constitutional Affairs Committee</w:t>
      </w:r>
    </w:p>
    <w:p w14:paraId="73FB7A9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Lord Bew Committee on Standards in Public Life</w:t>
      </w:r>
    </w:p>
    <w:p w14:paraId="119A21DC"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 xml:space="preserve">Sir </w:t>
      </w:r>
      <w:proofErr w:type="spellStart"/>
      <w:r w:rsidRPr="00780A2D">
        <w:rPr>
          <w:rFonts w:ascii="Times New Roman" w:hAnsi="Times New Roman" w:cs="Times New Roman"/>
          <w:color w:val="14A0C2"/>
        </w:rPr>
        <w:t>Amyas</w:t>
      </w:r>
      <w:proofErr w:type="spellEnd"/>
      <w:r w:rsidRPr="00780A2D">
        <w:rPr>
          <w:rFonts w:ascii="Times New Roman" w:hAnsi="Times New Roman" w:cs="Times New Roman"/>
          <w:color w:val="14A0C2"/>
        </w:rPr>
        <w:t xml:space="preserve"> Morse Comptroller and Auditor General NAO</w:t>
      </w:r>
    </w:p>
    <w:p w14:paraId="6111C14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Sir Robert Francis CQC NED and Chair of National Guardian Accountability and Liaison Committee</w:t>
      </w:r>
    </w:p>
    <w:p w14:paraId="013077C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Helen Buckingham NHSI Director of Corporate Affairs and member of National Guardian Accountability and Liaison Committee</w:t>
      </w:r>
    </w:p>
    <w:p w14:paraId="3B7066A9"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Times New Roman" w:hAnsi="Times New Roman" w:cs="Times New Roman"/>
          <w:color w:val="14A0C2"/>
        </w:rPr>
        <w:t>Dame Moira Gibb NHS England NED and member of National Guardian Accountability and Liaison Committee</w:t>
      </w:r>
    </w:p>
    <w:p w14:paraId="621F38E9"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62D72DF1"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740A5495"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4B5BD6C2"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1D4AA96B"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545238A6"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w:t>
      </w:r>
    </w:p>
    <w:p w14:paraId="71541CC8" w14:textId="77777777" w:rsidR="00780A2D" w:rsidRPr="00780A2D" w:rsidRDefault="00780A2D" w:rsidP="00780A2D">
      <w:pPr>
        <w:widowControl w:val="0"/>
        <w:autoSpaceDE w:val="0"/>
        <w:autoSpaceDN w:val="0"/>
        <w:adjustRightInd w:val="0"/>
        <w:spacing w:after="146" w:line="360" w:lineRule="atLeast"/>
        <w:jc w:val="center"/>
        <w:rPr>
          <w:rFonts w:ascii="Calibri" w:hAnsi="Calibri" w:cs="Calibri"/>
          <w:color w:val="14A0C2"/>
        </w:rPr>
      </w:pPr>
    </w:p>
    <w:p w14:paraId="42E114C0" w14:textId="77777777" w:rsidR="00780A2D" w:rsidRPr="00780A2D" w:rsidRDefault="00780A2D" w:rsidP="00780A2D">
      <w:pPr>
        <w:widowControl w:val="0"/>
        <w:autoSpaceDE w:val="0"/>
        <w:autoSpaceDN w:val="0"/>
        <w:adjustRightInd w:val="0"/>
        <w:spacing w:line="360" w:lineRule="atLeast"/>
        <w:rPr>
          <w:rFonts w:ascii="Calibri" w:hAnsi="Calibri" w:cs="Calibri"/>
          <w:color w:val="14A0C2"/>
        </w:rPr>
      </w:pPr>
      <w:r w:rsidRPr="00780A2D">
        <w:rPr>
          <w:rFonts w:ascii="Calibri" w:hAnsi="Calibri" w:cs="Calibri"/>
          <w:color w:val="14A0C2"/>
        </w:rPr>
        <w:t xml:space="preserve">The contents of this email and any attachments are confidential to the intended recipient. They may not be disclosed to or used by or copied in any way by anyone other than the intended recipient. If this email is received in error, please notify us immediately by clicking "Reply" and delete the email. Please note that neither the Care Quality Commission nor the sender accepts any responsibility for viruses and it is your responsibility to scan or otherwise check this email and any attachments. Any views expressed in this message are those of the individual sender, except where the sender specifically states them to be the views of the Care Quality Commission. Information on how the Care Quality Commission processes personal data is available here </w:t>
      </w:r>
      <w:hyperlink r:id="rId10" w:history="1">
        <w:r w:rsidRPr="00780A2D">
          <w:rPr>
            <w:rFonts w:ascii="Calibri" w:hAnsi="Calibri" w:cs="Calibri"/>
            <w:color w:val="6B006D"/>
            <w:u w:val="single" w:color="6B006D"/>
          </w:rPr>
          <w:t>http://www.cqc.org.uk/about-us/our-policies/privacy-statement</w:t>
        </w:r>
      </w:hyperlink>
    </w:p>
    <w:p w14:paraId="4FE5D966" w14:textId="77777777" w:rsidR="00780A2D" w:rsidRPr="00780A2D" w:rsidRDefault="00780A2D" w:rsidP="00780A2D">
      <w:pPr>
        <w:widowControl w:val="0"/>
        <w:autoSpaceDE w:val="0"/>
        <w:autoSpaceDN w:val="0"/>
        <w:adjustRightInd w:val="0"/>
        <w:spacing w:after="146" w:line="360" w:lineRule="atLeast"/>
        <w:jc w:val="center"/>
        <w:rPr>
          <w:rFonts w:ascii="Calibri" w:hAnsi="Calibri" w:cs="Calibri"/>
          <w:color w:val="14A0C2"/>
        </w:rPr>
      </w:pPr>
    </w:p>
    <w:p w14:paraId="3FD1FB1E"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759B784D" w14:textId="77777777" w:rsidR="00780A2D" w:rsidRPr="00780A2D" w:rsidRDefault="00780A2D" w:rsidP="00780A2D">
      <w:pPr>
        <w:widowControl w:val="0"/>
        <w:autoSpaceDE w:val="0"/>
        <w:autoSpaceDN w:val="0"/>
        <w:adjustRightInd w:val="0"/>
        <w:spacing w:line="320" w:lineRule="atLeast"/>
        <w:rPr>
          <w:rFonts w:ascii="Arial" w:hAnsi="Arial" w:cs="Arial"/>
          <w:color w:val="14A0C2"/>
        </w:rPr>
      </w:pPr>
    </w:p>
    <w:p w14:paraId="686309F9" w14:textId="77777777" w:rsidR="00780A2D" w:rsidRPr="00780A2D" w:rsidRDefault="00780A2D" w:rsidP="00780A2D">
      <w:pPr>
        <w:widowControl w:val="0"/>
        <w:autoSpaceDE w:val="0"/>
        <w:autoSpaceDN w:val="0"/>
        <w:adjustRightInd w:val="0"/>
        <w:spacing w:line="320" w:lineRule="atLeast"/>
        <w:rPr>
          <w:rFonts w:ascii="Arial" w:hAnsi="Arial" w:cs="Arial"/>
          <w:color w:val="453CCC"/>
        </w:rPr>
      </w:pPr>
    </w:p>
    <w:p w14:paraId="3A8273CB" w14:textId="77777777" w:rsidR="00605E48" w:rsidRPr="00780A2D" w:rsidRDefault="00E20A9B"/>
    <w:sectPr w:rsidR="00605E48" w:rsidRPr="00780A2D" w:rsidSect="000B14E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A2D"/>
    <w:rsid w:val="00005F2C"/>
    <w:rsid w:val="00016DC9"/>
    <w:rsid w:val="000C661A"/>
    <w:rsid w:val="000E583B"/>
    <w:rsid w:val="00165522"/>
    <w:rsid w:val="0024584C"/>
    <w:rsid w:val="002D456E"/>
    <w:rsid w:val="00333088"/>
    <w:rsid w:val="006647CF"/>
    <w:rsid w:val="00780A2D"/>
    <w:rsid w:val="00825E77"/>
    <w:rsid w:val="009A1272"/>
    <w:rsid w:val="00A20EC7"/>
    <w:rsid w:val="00A93FB1"/>
    <w:rsid w:val="00AF56AC"/>
    <w:rsid w:val="00B26240"/>
    <w:rsid w:val="00B977FC"/>
    <w:rsid w:val="00C8641E"/>
    <w:rsid w:val="00D21EC6"/>
    <w:rsid w:val="00D82F6E"/>
    <w:rsid w:val="00DB2B6E"/>
    <w:rsid w:val="00E20A9B"/>
    <w:rsid w:val="00E7198D"/>
    <w:rsid w:val="00E93ECB"/>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7BAD0A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s://www.gov.uk/employment-tribunal-decisions/miss-c-evans-v-springbank-house-ltd-t-a-cliff-house-care-home-2601192-2016" TargetMode="External"/><Relationship Id="rId5" Type="http://schemas.openxmlformats.org/officeDocument/2006/relationships/hyperlink" Target="https://www.cqc.org.uk/location/1-118840135" TargetMode="External"/><Relationship Id="rId6" Type="http://schemas.openxmlformats.org/officeDocument/2006/relationships/hyperlink" Target="https://www.cqc.org.uk/location/1-4205591134" TargetMode="External"/><Relationship Id="rId7" Type="http://schemas.openxmlformats.org/officeDocument/2006/relationships/hyperlink" Target="https://www.cqc.org.uk/provider/1-119233104" TargetMode="External"/><Relationship Id="rId8" Type="http://schemas.openxmlformats.org/officeDocument/2006/relationships/hyperlink" Target="https://minhalexander.files.wordpress.com/2016/09/cqc-foi-response-et1-intelligence-27-october-2016.pdf" TargetMode="External"/><Relationship Id="rId9" Type="http://schemas.openxmlformats.org/officeDocument/2006/relationships/hyperlink" Target="https://minhalexander.files.wordpress.com/2016/09/acas-pida-claims-in-health-and-social-care-foi-2017-006-2-review-alexander.pdf" TargetMode="External"/><Relationship Id="rId10" Type="http://schemas.openxmlformats.org/officeDocument/2006/relationships/hyperlink" Target="http://www.cqc.org.uk/about-us/our-policies/privacy-stat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1756</Words>
  <Characters>10013</Characters>
  <Application>Microsoft Macintosh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2018-09-18T09:20:00Z</dcterms:created>
  <dcterms:modified xsi:type="dcterms:W3CDTF">2018-09-18T09:29:00Z</dcterms:modified>
</cp:coreProperties>
</file>