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9FC2E8"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BY EMAIL</w:t>
      </w:r>
    </w:p>
    <w:p w14:paraId="660505B0"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Neil Churchill</w:t>
      </w:r>
    </w:p>
    <w:p w14:paraId="69B80EBF"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Patient Experience Director</w:t>
      </w:r>
    </w:p>
    <w:p w14:paraId="551A9F1C"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NHS England</w:t>
      </w:r>
    </w:p>
    <w:p w14:paraId="7956DA52"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28 August 2018</w:t>
      </w:r>
    </w:p>
    <w:p w14:paraId="1402843D"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 </w:t>
      </w:r>
    </w:p>
    <w:p w14:paraId="3F97C2CB"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Dear Neil,</w:t>
      </w:r>
    </w:p>
    <w:p w14:paraId="3C18CD26"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 </w:t>
      </w:r>
    </w:p>
    <w:p w14:paraId="1E82F7C2"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b/>
          <w:bCs/>
          <w:color w:val="000000"/>
          <w:sz w:val="28"/>
          <w:szCs w:val="28"/>
          <w:lang w:eastAsia="en-GB"/>
        </w:rPr>
        <w:t>NHS approach to individuals whom it considers ‘vexatious’</w:t>
      </w:r>
    </w:p>
    <w:p w14:paraId="216795DC"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Further to our twitter conversation, I write to pick up this issue. Thanks for engaging with it.</w:t>
      </w:r>
    </w:p>
    <w:p w14:paraId="1DECDE3C"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As you will have seen, patients, families and whistleblowers sometimes get labelled ‘vexatious’ or equivalent, when they challenge NHS organisations. This is stigmatising and can add to a spiral of deteriorating relationships with the individuals affected, disadvantaging them in very real terms. It can have an impact on a patient’s clinical care, on whether a family seeking answers and justice is heard and on whether a whistleblower is taken seriously enough and their patient safety concerns are acted upon.</w:t>
      </w:r>
    </w:p>
    <w:p w14:paraId="231657F3"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Many organisations which unfairly stigmatise those who challenge them as difficult or ‘vexatious’ often lack the skills to handle concerns effectively, and there may also be probity issues. It is easier for some organisations to project blame than to accept criticism. Their attitudes towards dissent actually cause the breakdown in relationships, and then they unfairly and ritually blame dissenters for that too, with the use of containment protocols where these are not justified.</w:t>
      </w:r>
    </w:p>
    <w:p w14:paraId="2B38C8F0"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There will of course be rare cases where organisations must protect their staff from genuinely abusive behaviour. But in too many cases the deployment of containment protocols is an abuse of process, and worst of all, it may be covert. </w:t>
      </w:r>
    </w:p>
    <w:p w14:paraId="3C8179DA"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 </w:t>
      </w:r>
    </w:p>
    <w:p w14:paraId="4E2C71CB"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lastRenderedPageBreak/>
        <w:t>Some whistleblowers have found from Subject Access Requests that the CQC ‘manages’ them according to such protocols, for no reason other than evidence-based dissent. I am aware of one whistleblower for whom the CQC even has a flow chart. Some of these protocols are conducted and coordinated by the office of the CQC Chair and CEO. This is insidious behaviour because it flags to the rest of the organisation that whistleblowers are persona non grata, and automatically removes the benefit of the doubt. It encourages staff to view the individual with a particular bias. The same applies to patients and families who receive such treatment.</w:t>
      </w:r>
    </w:p>
    <w:p w14:paraId="1A164B2B"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This is an extraordinary 2010 CQC policy which reveals how much emphasis CQC places on containing people once it has decided that their complaints are ‘vexatious’, see section from page 14 onwards:</w:t>
      </w:r>
    </w:p>
    <w:p w14:paraId="644E82F7" w14:textId="77777777" w:rsidR="00DB4FB6" w:rsidRPr="00DB4FB6" w:rsidRDefault="00DB4FB6" w:rsidP="00DB4FB6">
      <w:pPr>
        <w:spacing w:before="100" w:beforeAutospacing="1" w:after="100" w:afterAutospacing="1"/>
        <w:rPr>
          <w:rFonts w:cs="ArialMT"/>
          <w:color w:val="000000"/>
          <w:sz w:val="28"/>
          <w:szCs w:val="28"/>
          <w:lang w:eastAsia="en-GB"/>
        </w:rPr>
      </w:pPr>
      <w:hyperlink r:id="rId4" w:history="1">
        <w:r w:rsidRPr="00DB4FB6">
          <w:rPr>
            <w:rFonts w:cs="ArialMT"/>
            <w:color w:val="0000FF"/>
            <w:sz w:val="28"/>
            <w:szCs w:val="28"/>
            <w:u w:val="single"/>
            <w:lang w:eastAsia="en-GB"/>
          </w:rPr>
          <w:t>https://minhalexander.files.wordpress.com/2018/08/cqc-board-paper-complaints-whistleblowing-2010-cm0031008_complaints__whistleblowing_-1.doc</w:t>
        </w:r>
      </w:hyperlink>
    </w:p>
    <w:p w14:paraId="33032F79"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CQC’s policy is very weak on how complaints are deemed ‘vexatious’ in the first place. There is no clear policy mechanism for ensuring that the decision is made rigorously and at a suitably senior level of the organisation, or that there is any element of independent review. The definition of ‘vexatiousness’ is made only in the most general terms:</w:t>
      </w:r>
    </w:p>
    <w:tbl>
      <w:tblPr>
        <w:tblW w:w="0" w:type="auto"/>
        <w:tblCellMar>
          <w:left w:w="0" w:type="dxa"/>
          <w:right w:w="0" w:type="dxa"/>
        </w:tblCellMar>
        <w:tblLook w:val="04A0" w:firstRow="1" w:lastRow="0" w:firstColumn="1" w:lastColumn="0" w:noHBand="0" w:noVBand="1"/>
      </w:tblPr>
      <w:tblGrid>
        <w:gridCol w:w="9000"/>
      </w:tblGrid>
      <w:tr w:rsidR="00DB4FB6" w:rsidRPr="00DB4FB6" w14:paraId="6DF374AD" w14:textId="77777777" w:rsidTr="00DB4FB6">
        <w:tc>
          <w:tcPr>
            <w:tcW w:w="90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C410475" w14:textId="77777777" w:rsidR="00DB4FB6" w:rsidRPr="00DB4FB6" w:rsidRDefault="00DB4FB6" w:rsidP="00DB4FB6">
            <w:pPr>
              <w:spacing w:before="100" w:beforeAutospacing="1" w:after="100" w:afterAutospacing="1"/>
              <w:ind w:left="900" w:hanging="1080"/>
              <w:rPr>
                <w:rFonts w:cs="Times New Roman"/>
                <w:sz w:val="28"/>
                <w:szCs w:val="28"/>
                <w:lang w:eastAsia="en-GB"/>
              </w:rPr>
            </w:pPr>
          </w:p>
          <w:p w14:paraId="0554CBA2" w14:textId="77777777" w:rsidR="00DB4FB6" w:rsidRPr="00DB4FB6" w:rsidRDefault="00DB4FB6" w:rsidP="00DB4FB6">
            <w:pPr>
              <w:spacing w:before="100" w:beforeAutospacing="1" w:after="100" w:afterAutospacing="1"/>
              <w:ind w:left="1500" w:hanging="1080"/>
              <w:rPr>
                <w:rFonts w:cs="Times New Roman"/>
                <w:sz w:val="28"/>
                <w:szCs w:val="28"/>
                <w:lang w:eastAsia="en-GB"/>
              </w:rPr>
            </w:pPr>
            <w:r w:rsidRPr="00DB4FB6">
              <w:rPr>
                <w:rFonts w:cs="Times New Roman"/>
                <w:b/>
                <w:bCs/>
                <w:sz w:val="28"/>
                <w:szCs w:val="28"/>
                <w:lang w:eastAsia="en-GB"/>
              </w:rPr>
              <w:t>2.1.           Key principles</w:t>
            </w:r>
          </w:p>
          <w:p w14:paraId="2114B223" w14:textId="77777777" w:rsidR="00DB4FB6" w:rsidRPr="00DB4FB6" w:rsidRDefault="00DB4FB6" w:rsidP="00DB4FB6">
            <w:pPr>
              <w:spacing w:before="100" w:beforeAutospacing="1" w:after="100" w:afterAutospacing="1"/>
              <w:ind w:left="780" w:hanging="900"/>
              <w:rPr>
                <w:rFonts w:cs="ArialMT"/>
                <w:sz w:val="28"/>
                <w:szCs w:val="28"/>
                <w:lang w:eastAsia="en-GB"/>
              </w:rPr>
            </w:pPr>
            <w:r w:rsidRPr="00DB4FB6">
              <w:rPr>
                <w:rFonts w:cs="ArialMT"/>
                <w:b/>
                <w:bCs/>
                <w:sz w:val="28"/>
                <w:szCs w:val="28"/>
                <w:lang w:eastAsia="en-GB"/>
              </w:rPr>
              <w:t> </w:t>
            </w:r>
          </w:p>
          <w:p w14:paraId="3202A99B" w14:textId="77777777" w:rsidR="00DB4FB6" w:rsidRPr="00DB4FB6" w:rsidRDefault="00DB4FB6" w:rsidP="00DB4FB6">
            <w:pPr>
              <w:spacing w:before="100" w:beforeAutospacing="1" w:after="100" w:afterAutospacing="1"/>
              <w:ind w:left="1500" w:hanging="1080"/>
              <w:rPr>
                <w:rFonts w:cs="Times New Roman"/>
                <w:sz w:val="28"/>
                <w:szCs w:val="28"/>
                <w:lang w:eastAsia="en-GB"/>
              </w:rPr>
            </w:pPr>
            <w:r w:rsidRPr="00DB4FB6">
              <w:rPr>
                <w:rFonts w:cs="Times New Roman"/>
                <w:sz w:val="28"/>
                <w:szCs w:val="28"/>
                <w:lang w:eastAsia="en-GB"/>
              </w:rPr>
              <w:t>12.1.1          A small minority of people who use the Corporate Complaints Procedure may seek to misuse the system. Their motivation may be driven by a strong conviction (despite evidence to the contrary) that their complaints are reasonable or by other factors not necessarily evident to us. </w:t>
            </w:r>
          </w:p>
          <w:p w14:paraId="2B315E53" w14:textId="77777777" w:rsidR="00DB4FB6" w:rsidRPr="00DB4FB6" w:rsidRDefault="00DB4FB6" w:rsidP="00DB4FB6">
            <w:pPr>
              <w:spacing w:before="100" w:beforeAutospacing="1" w:after="100" w:afterAutospacing="1"/>
              <w:ind w:left="420"/>
              <w:rPr>
                <w:rFonts w:cs="Times New Roman"/>
                <w:sz w:val="28"/>
                <w:szCs w:val="28"/>
                <w:lang w:eastAsia="en-GB"/>
              </w:rPr>
            </w:pPr>
            <w:r w:rsidRPr="00DB4FB6">
              <w:rPr>
                <w:rFonts w:cs="Times New Roman"/>
                <w:sz w:val="28"/>
                <w:szCs w:val="28"/>
                <w:lang w:eastAsia="en-GB"/>
              </w:rPr>
              <w:t> </w:t>
            </w:r>
          </w:p>
          <w:p w14:paraId="1FFC66C7" w14:textId="77777777" w:rsidR="00DB4FB6" w:rsidRPr="00DB4FB6" w:rsidRDefault="00DB4FB6" w:rsidP="00DB4FB6">
            <w:pPr>
              <w:spacing w:before="100" w:beforeAutospacing="1" w:after="100" w:afterAutospacing="1"/>
              <w:ind w:left="1500"/>
              <w:rPr>
                <w:rFonts w:cs="Times New Roman"/>
                <w:sz w:val="28"/>
                <w:szCs w:val="28"/>
                <w:lang w:eastAsia="en-GB"/>
              </w:rPr>
            </w:pPr>
            <w:r w:rsidRPr="00DB4FB6">
              <w:rPr>
                <w:rFonts w:cs="Times New Roman"/>
                <w:sz w:val="28"/>
                <w:szCs w:val="28"/>
                <w:lang w:eastAsia="en-GB"/>
              </w:rPr>
              <w:t>Any perception that a complaint is of a vexatious nature, or is being made with unwarranted persistence, must be balanced with an objective consideration of the issues being presented.</w:t>
            </w:r>
          </w:p>
          <w:p w14:paraId="30FFA4DB" w14:textId="77777777" w:rsidR="00DB4FB6" w:rsidRPr="00DB4FB6" w:rsidRDefault="00DB4FB6" w:rsidP="00DB4FB6">
            <w:pPr>
              <w:spacing w:before="100" w:beforeAutospacing="1" w:after="100" w:afterAutospacing="1"/>
              <w:ind w:left="360"/>
              <w:rPr>
                <w:rFonts w:cs="Times New Roman"/>
                <w:sz w:val="28"/>
                <w:szCs w:val="28"/>
                <w:lang w:eastAsia="en-GB"/>
              </w:rPr>
            </w:pPr>
            <w:r w:rsidRPr="00DB4FB6">
              <w:rPr>
                <w:rFonts w:cs="Times New Roman"/>
                <w:sz w:val="28"/>
                <w:szCs w:val="28"/>
                <w:lang w:eastAsia="en-GB"/>
              </w:rPr>
              <w:t>  </w:t>
            </w:r>
          </w:p>
          <w:p w14:paraId="5A6420C0" w14:textId="77777777" w:rsidR="00DB4FB6" w:rsidRPr="00DB4FB6" w:rsidRDefault="00DB4FB6" w:rsidP="00DB4FB6">
            <w:pPr>
              <w:spacing w:before="100" w:beforeAutospacing="1" w:after="100" w:afterAutospacing="1"/>
              <w:ind w:left="1500" w:hanging="1080"/>
              <w:rPr>
                <w:rFonts w:cs="Times New Roman"/>
                <w:sz w:val="28"/>
                <w:szCs w:val="28"/>
                <w:lang w:eastAsia="en-GB"/>
              </w:rPr>
            </w:pPr>
            <w:r w:rsidRPr="00DB4FB6">
              <w:rPr>
                <w:rFonts w:cs="Times New Roman"/>
                <w:sz w:val="28"/>
                <w:szCs w:val="28"/>
                <w:lang w:eastAsia="en-GB"/>
              </w:rPr>
              <w:t>12.1.1          Those whose conduct is considered to be difficult or unreasonably persistent in nature will be the subject of an explicit approach. This will balance their right to use the complaints procedure for legitimate purposes, the rights of employees to be protected from victimisation and harm whilst at work, and the fair and efficient exercise of our full range of functions.</w:t>
            </w:r>
          </w:p>
          <w:p w14:paraId="4E49529F" w14:textId="77777777" w:rsidR="00DB4FB6" w:rsidRPr="00DB4FB6" w:rsidRDefault="00DB4FB6" w:rsidP="00DB4FB6">
            <w:pPr>
              <w:spacing w:before="100" w:beforeAutospacing="1" w:after="100" w:afterAutospacing="1"/>
              <w:rPr>
                <w:rFonts w:cs="Times New Roman"/>
                <w:sz w:val="28"/>
                <w:szCs w:val="28"/>
                <w:lang w:eastAsia="en-GB"/>
              </w:rPr>
            </w:pPr>
            <w:r w:rsidRPr="00DB4FB6">
              <w:rPr>
                <w:rFonts w:cs="Times New Roman"/>
                <w:sz w:val="28"/>
                <w:szCs w:val="28"/>
                <w:lang w:eastAsia="en-GB"/>
              </w:rPr>
              <w:t> </w:t>
            </w:r>
          </w:p>
        </w:tc>
      </w:tr>
    </w:tbl>
    <w:p w14:paraId="2FD005AA"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 </w:t>
      </w:r>
    </w:p>
    <w:p w14:paraId="5A760520"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CQC’s policy simply assumes that the organisation is right, and that this gives it the right to deploy measures such as telling staff to give ‘scripted responses’.</w:t>
      </w:r>
    </w:p>
    <w:p w14:paraId="7CAF8991"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The policy contains nothing about mediation or arbitration by an independent third party. The approach is confrontational and jumps to telling the individual they can escalate by bringing a legal adviser to meetings or complaining to PHSO if they are unhappy. </w:t>
      </w:r>
    </w:p>
    <w:p w14:paraId="753D83EC"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This policy example reflects the lived experience of many patients, families and whistleblowers of many other NHS organisations.</w:t>
      </w:r>
    </w:p>
    <w:p w14:paraId="53FAE580"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I would be grateful to know if NHS England could help ensure that there is a national approach to reducing the risk of abuses, and that this development work involves affected parties. The process by which individuals are identified as ‘vexatious’ needs to be much more rigorous and should ideally involve an element of independent review. Also, I think it is important that whenever an NHS organisation manages anybody with a containment protocol, whether or not they have been explicitly deemed ‘vexatious’, that this must be done openly and with clear justification. This is essential for fairness as individuals cannot challenge that which is hidden. </w:t>
      </w:r>
    </w:p>
    <w:p w14:paraId="5B434793" w14:textId="77777777" w:rsidR="00DB4FB6" w:rsidRPr="00DB4FB6" w:rsidRDefault="00DB4FB6" w:rsidP="00DB4FB6">
      <w:pPr>
        <w:spacing w:before="100" w:beforeAutospacing="1" w:after="100" w:afterAutospacing="1"/>
        <w:rPr>
          <w:rFonts w:cs="ArialMT"/>
          <w:color w:val="000000"/>
          <w:sz w:val="28"/>
          <w:szCs w:val="28"/>
          <w:lang w:eastAsia="en-GB"/>
        </w:rPr>
      </w:pPr>
      <w:r w:rsidRPr="00DB4FB6">
        <w:rPr>
          <w:rFonts w:cs="ArialMT"/>
          <w:color w:val="000000"/>
          <w:sz w:val="28"/>
          <w:szCs w:val="28"/>
          <w:lang w:eastAsia="en-GB"/>
        </w:rPr>
        <w:t>Such transparency is also necessary for good Equality practice. If deleterious actions are secret, any patterns showing bias and institutional discrimination would be hidden. As you have kindly acknowledged, there are also diversity implications in declaring individuals ‘vexatious’. It is not acceptable for NHS organisations to discriminate against whistleblowers simply for being whistleblowers, and to tar them (whether explicitly or implicitly with the application of a containment protocol), when it may affect future employment and when the law now prohibits this. </w:t>
      </w:r>
    </w:p>
    <w:p w14:paraId="3F1DB7B5" w14:textId="77777777" w:rsidR="00DB4FB6" w:rsidRPr="00DB4FB6" w:rsidRDefault="00DB4FB6" w:rsidP="00DB4FB6">
      <w:pPr>
        <w:rPr>
          <w:rFonts w:eastAsia="Times New Roman" w:cs="Times New Roman"/>
          <w:sz w:val="28"/>
          <w:szCs w:val="28"/>
          <w:lang w:eastAsia="en-GB"/>
        </w:rPr>
      </w:pPr>
      <w:r w:rsidRPr="00DB4FB6">
        <w:rPr>
          <w:rFonts w:eastAsia="Times New Roman" w:cs="ArialMT"/>
          <w:color w:val="000000"/>
          <w:sz w:val="28"/>
          <w:szCs w:val="28"/>
          <w:lang w:eastAsia="en-GB"/>
        </w:rPr>
        <w:t>Treating people as ‘vexatious’ is a very serious step, and there should be central oversight of how the NHS does this, as a safeguard against pockets of arbitrariness and abuse.</w:t>
      </w:r>
    </w:p>
    <w:p w14:paraId="721D6468" w14:textId="77777777" w:rsidR="00DB4FB6" w:rsidRPr="00DB4FB6" w:rsidRDefault="00DB4FB6" w:rsidP="00DB4FB6">
      <w:pPr>
        <w:rPr>
          <w:rFonts w:eastAsia="Times New Roman" w:cs="ArialMT"/>
          <w:color w:val="000000"/>
          <w:sz w:val="28"/>
          <w:szCs w:val="28"/>
          <w:lang w:eastAsia="en-GB"/>
        </w:rPr>
      </w:pPr>
    </w:p>
    <w:p w14:paraId="6CA1D8D3" w14:textId="77777777" w:rsidR="00DB4FB6" w:rsidRPr="00DB4FB6" w:rsidRDefault="00DB4FB6" w:rsidP="00DB4FB6">
      <w:pPr>
        <w:rPr>
          <w:rFonts w:eastAsia="Times New Roman" w:cs="ArialMT"/>
          <w:color w:val="000000"/>
          <w:sz w:val="28"/>
          <w:szCs w:val="28"/>
          <w:lang w:eastAsia="en-GB"/>
        </w:rPr>
      </w:pPr>
      <w:r w:rsidRPr="00DB4FB6">
        <w:rPr>
          <w:rFonts w:eastAsia="Times New Roman" w:cs="ArialMT"/>
          <w:color w:val="000000"/>
          <w:sz w:val="28"/>
          <w:szCs w:val="28"/>
          <w:lang w:eastAsia="en-GB"/>
        </w:rPr>
        <w:t>In the Courts, the management of ‘vexatious litigants’ is extremely formal. The NHS should equally respect the rights of individuals whom it seeks to deem as ‘vexatious’.</w:t>
      </w:r>
    </w:p>
    <w:p w14:paraId="1807F7FD" w14:textId="77777777" w:rsid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Lastly, as Prof Brian Jarman has often pointed out, a key structural problem in ensuring that serious concerns are fairly handled is that Independent Review Panels were abolished:</w:t>
      </w:r>
    </w:p>
    <w:p w14:paraId="0B5CA93B" w14:textId="77777777" w:rsidR="00A90FCB" w:rsidRPr="00DB4FB6" w:rsidRDefault="00A90FCB" w:rsidP="00DB4FB6">
      <w:pPr>
        <w:spacing w:before="100" w:beforeAutospacing="1" w:after="100" w:afterAutospacing="1"/>
        <w:rPr>
          <w:rFonts w:cs="Times New Roman"/>
          <w:color w:val="000000"/>
          <w:sz w:val="28"/>
          <w:szCs w:val="28"/>
          <w:lang w:eastAsia="en-GB"/>
        </w:rPr>
      </w:pPr>
      <w:bookmarkStart w:id="0" w:name="_GoBack"/>
      <w:bookmarkEnd w:id="0"/>
    </w:p>
    <w:p w14:paraId="04C15697" w14:textId="77777777" w:rsidR="00DB4FB6" w:rsidRPr="00DB4FB6" w:rsidRDefault="00DB4FB6" w:rsidP="00DB4FB6">
      <w:pPr>
        <w:spacing w:before="100" w:beforeAutospacing="1" w:after="100" w:afterAutospacing="1"/>
        <w:rPr>
          <w:rFonts w:cs="Times New Roman"/>
          <w:color w:val="000000"/>
          <w:sz w:val="28"/>
          <w:szCs w:val="28"/>
          <w:lang w:eastAsia="en-GB"/>
        </w:rPr>
      </w:pPr>
      <w:hyperlink r:id="rId5" w:history="1">
        <w:r w:rsidRPr="00DB4FB6">
          <w:rPr>
            <w:rFonts w:cs="Times New Roman"/>
            <w:color w:val="0000FF"/>
            <w:sz w:val="28"/>
            <w:szCs w:val="28"/>
            <w:u w:val="single"/>
            <w:lang w:eastAsia="en-GB"/>
          </w:rPr>
          <w:t>Quality of patient care and safety: The way forward after MidStaffordshire </w:t>
        </w:r>
      </w:hyperlink>
    </w:p>
    <w:p w14:paraId="0823A2BF" w14:textId="77777777" w:rsidR="00DB4FB6" w:rsidRDefault="00DB4FB6" w:rsidP="00DB4FB6">
      <w:pPr>
        <w:spacing w:before="100" w:beforeAutospacing="1" w:after="100" w:afterAutospacing="1"/>
        <w:rPr>
          <w:rFonts w:cs="Times New Roman"/>
          <w:color w:val="000000"/>
          <w:sz w:val="28"/>
          <w:szCs w:val="28"/>
          <w:lang w:eastAsia="en-GB"/>
        </w:rPr>
      </w:pPr>
    </w:p>
    <w:p w14:paraId="5A271C3A"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I would be grateful to know how these issues can be taken forward.</w:t>
      </w:r>
    </w:p>
    <w:p w14:paraId="2972C8AB"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I copy Dr Sara Ryan whom I understand discovered that she had been labelled as ‘vexatious’ through correspondence by a senior commissioner, and whose treatment by NHS staff was criticised by the </w:t>
      </w:r>
      <w:hyperlink r:id="rId6" w:history="1">
        <w:r w:rsidRPr="00DB4FB6">
          <w:rPr>
            <w:rFonts w:cs="Times New Roman"/>
            <w:color w:val="0000FF"/>
            <w:sz w:val="28"/>
            <w:szCs w:val="28"/>
            <w:u w:val="single"/>
            <w:lang w:eastAsia="en-GB"/>
          </w:rPr>
          <w:t>Crown Court. </w:t>
        </w:r>
      </w:hyperlink>
    </w:p>
    <w:p w14:paraId="33891BAB"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I also copy it to Ann Reeve, who experienced similar difficulties in the long struggle to seek justice for the victims of the Gosport disaster and was also branded ‘vexatious’, and to Bishop James Jones’ office in respect of ongoing discussions on follow up action after the Gosport inquiry.</w:t>
      </w:r>
    </w:p>
    <w:p w14:paraId="2DF736E7"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I also copy Julie Bailey who has experienced a great deal of derogatory treatment as a result of raising concerns about the MidStaffs disaster, including by senior figures.</w:t>
      </w:r>
    </w:p>
    <w:p w14:paraId="00021636"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With best wishes,</w:t>
      </w:r>
    </w:p>
    <w:p w14:paraId="6B1AC45F"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Minh</w:t>
      </w:r>
    </w:p>
    <w:p w14:paraId="7CEC5789"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Dr Minh Alexander</w:t>
      </w:r>
    </w:p>
    <w:p w14:paraId="11E72778"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Cc Rt Hon Steve Barclay</w:t>
      </w:r>
    </w:p>
    <w:p w14:paraId="6BE1F471"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     Dr Sara Ryan</w:t>
      </w:r>
    </w:p>
    <w:p w14:paraId="566B88B0"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     Ann Reeve</w:t>
      </w:r>
    </w:p>
    <w:p w14:paraId="7667A8AB"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     Julie Bailey</w:t>
      </w:r>
    </w:p>
    <w:p w14:paraId="01BE9512"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     Prof Brian Jarman</w:t>
      </w:r>
    </w:p>
    <w:p w14:paraId="07698B37"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     Bishop James Jones</w:t>
      </w:r>
    </w:p>
    <w:p w14:paraId="770E6EE2"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     Rob Behrens PHSO</w:t>
      </w:r>
    </w:p>
    <w:p w14:paraId="7FC0C3E2" w14:textId="77777777" w:rsidR="00DB4FB6" w:rsidRPr="00DB4FB6" w:rsidRDefault="00DB4FB6" w:rsidP="00DB4FB6">
      <w:pPr>
        <w:spacing w:before="100" w:beforeAutospacing="1" w:after="100" w:afterAutospacing="1"/>
        <w:rPr>
          <w:rFonts w:cs="Times New Roman"/>
          <w:color w:val="000000"/>
          <w:sz w:val="28"/>
          <w:szCs w:val="28"/>
          <w:lang w:eastAsia="en-GB"/>
        </w:rPr>
      </w:pPr>
      <w:r w:rsidRPr="00DB4FB6">
        <w:rPr>
          <w:rFonts w:cs="Times New Roman"/>
          <w:color w:val="000000"/>
          <w:sz w:val="28"/>
          <w:szCs w:val="28"/>
          <w:lang w:eastAsia="en-GB"/>
        </w:rPr>
        <w:t> </w:t>
      </w:r>
    </w:p>
    <w:p w14:paraId="2127A678" w14:textId="77777777" w:rsidR="00605E48" w:rsidRPr="00DB4FB6" w:rsidRDefault="00A90FCB">
      <w:pPr>
        <w:rPr>
          <w:sz w:val="28"/>
          <w:szCs w:val="28"/>
        </w:rPr>
      </w:pPr>
    </w:p>
    <w:sectPr w:rsidR="00605E48" w:rsidRPr="00DB4FB6"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MT">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3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FB6"/>
    <w:rsid w:val="000E583B"/>
    <w:rsid w:val="00165522"/>
    <w:rsid w:val="00213B56"/>
    <w:rsid w:val="0024584C"/>
    <w:rsid w:val="006647CF"/>
    <w:rsid w:val="00825E77"/>
    <w:rsid w:val="009A1272"/>
    <w:rsid w:val="00A90FCB"/>
    <w:rsid w:val="00AF56AC"/>
    <w:rsid w:val="00B977FC"/>
    <w:rsid w:val="00D21EC6"/>
    <w:rsid w:val="00DB2B6E"/>
    <w:rsid w:val="00DB4FB6"/>
    <w:rsid w:val="00E93ECB"/>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8C9071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B4FB6"/>
  </w:style>
  <w:style w:type="character" w:styleId="Hyperlink">
    <w:name w:val="Hyperlink"/>
    <w:basedOn w:val="DefaultParagraphFont"/>
    <w:uiPriority w:val="99"/>
    <w:semiHidden/>
    <w:unhideWhenUsed/>
    <w:rsid w:val="00DB4FB6"/>
    <w:rPr>
      <w:color w:val="0000FF"/>
      <w:u w:val="single"/>
    </w:rPr>
  </w:style>
  <w:style w:type="paragraph" w:styleId="Footer">
    <w:name w:val="footer"/>
    <w:basedOn w:val="Normal"/>
    <w:link w:val="FooterChar"/>
    <w:uiPriority w:val="99"/>
    <w:semiHidden/>
    <w:unhideWhenUsed/>
    <w:rsid w:val="00DB4FB6"/>
    <w:pPr>
      <w:spacing w:before="100" w:beforeAutospacing="1" w:after="100" w:afterAutospacing="1"/>
    </w:pPr>
    <w:rPr>
      <w:rFonts w:ascii="Times New Roman" w:hAnsi="Times New Roman" w:cs="Times New Roman"/>
      <w:lang w:eastAsia="en-GB"/>
    </w:rPr>
  </w:style>
  <w:style w:type="character" w:customStyle="1" w:styleId="FooterChar">
    <w:name w:val="Footer Char"/>
    <w:basedOn w:val="DefaultParagraphFont"/>
    <w:link w:val="Footer"/>
    <w:uiPriority w:val="99"/>
    <w:semiHidden/>
    <w:rsid w:val="00DB4FB6"/>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6313822">
      <w:bodyDiv w:val="1"/>
      <w:marLeft w:val="0"/>
      <w:marRight w:val="0"/>
      <w:marTop w:val="0"/>
      <w:marBottom w:val="0"/>
      <w:divBdr>
        <w:top w:val="none" w:sz="0" w:space="0" w:color="auto"/>
        <w:left w:val="none" w:sz="0" w:space="0" w:color="auto"/>
        <w:bottom w:val="none" w:sz="0" w:space="0" w:color="auto"/>
        <w:right w:val="none" w:sz="0" w:space="0" w:color="auto"/>
      </w:divBdr>
      <w:divsChild>
        <w:div w:id="487358294">
          <w:blockQuote w:val="1"/>
          <w:marLeft w:val="600"/>
          <w:marRight w:val="0"/>
          <w:marTop w:val="0"/>
          <w:marBottom w:val="0"/>
          <w:divBdr>
            <w:top w:val="none" w:sz="0" w:space="0" w:color="auto"/>
            <w:left w:val="none" w:sz="0" w:space="0" w:color="auto"/>
            <w:bottom w:val="none" w:sz="0" w:space="0" w:color="auto"/>
            <w:right w:val="none" w:sz="0" w:space="0" w:color="auto"/>
          </w:divBdr>
        </w:div>
        <w:div w:id="674917624">
          <w:blockQuote w:val="1"/>
          <w:marLeft w:val="600"/>
          <w:marRight w:val="0"/>
          <w:marTop w:val="0"/>
          <w:marBottom w:val="0"/>
          <w:divBdr>
            <w:top w:val="none" w:sz="0" w:space="0" w:color="auto"/>
            <w:left w:val="none" w:sz="0" w:space="0" w:color="auto"/>
            <w:bottom w:val="none" w:sz="0" w:space="0" w:color="auto"/>
            <w:right w:val="none" w:sz="0" w:space="0" w:color="auto"/>
          </w:divBdr>
        </w:div>
        <w:div w:id="1321226419">
          <w:marLeft w:val="0"/>
          <w:marRight w:val="0"/>
          <w:marTop w:val="0"/>
          <w:marBottom w:val="0"/>
          <w:divBdr>
            <w:top w:val="none" w:sz="0" w:space="0" w:color="auto"/>
            <w:left w:val="none" w:sz="0" w:space="0" w:color="auto"/>
            <w:bottom w:val="none" w:sz="0" w:space="0" w:color="auto"/>
            <w:right w:val="none" w:sz="0" w:space="0" w:color="auto"/>
          </w:divBdr>
        </w:div>
        <w:div w:id="2000114982">
          <w:marLeft w:val="0"/>
          <w:marRight w:val="0"/>
          <w:marTop w:val="0"/>
          <w:marBottom w:val="0"/>
          <w:divBdr>
            <w:top w:val="none" w:sz="0" w:space="0" w:color="auto"/>
            <w:left w:val="none" w:sz="0" w:space="0" w:color="auto"/>
            <w:bottom w:val="none" w:sz="0" w:space="0" w:color="auto"/>
            <w:right w:val="none" w:sz="0" w:space="0" w:color="auto"/>
          </w:divBdr>
        </w:div>
        <w:div w:id="109551934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minhalexander.files.wordpress.com/2018/08/cqc-board-paper-complaints-whistleblowing-2010-cm0031008_complaints__whistleblowing_-1.doc" TargetMode="External"/><Relationship Id="rId5" Type="http://schemas.openxmlformats.org/officeDocument/2006/relationships/hyperlink" Target="https://www.dropbox.com/s/jqsm7cicpyjwwy6/The%20Lancet%2017%20Aug%202013%20-%20Quality%20of%20care%20and%20patient%20safety%20in%20the%20UK%2C%20Jarman%20B%2C%20The%20Lancet%202013%3B%20382%3B%20573-575.doc" TargetMode="External"/><Relationship Id="rId6" Type="http://schemas.openxmlformats.org/officeDocument/2006/relationships/hyperlink" Target="https://www.opendemocracy.net/shinealight/sara-ryan/connor-sparrowhawk-southern-health-fined-2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1125</Words>
  <Characters>6415</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dcterms:created xsi:type="dcterms:W3CDTF">2018-08-28T09:40:00Z</dcterms:created>
  <dcterms:modified xsi:type="dcterms:W3CDTF">2018-08-28T09:43:00Z</dcterms:modified>
</cp:coreProperties>
</file>